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ind w:firstLine="3092" w:firstLineChars="7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西藏自治区中药饮片生产品种备案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eastAsia="zh-CN"/>
        </w:rPr>
        <w:t>目录</w:t>
      </w:r>
    </w:p>
    <w:p>
      <w:pPr>
        <w:numPr>
          <w:ilvl w:val="0"/>
          <w:numId w:val="0"/>
        </w:numPr>
        <w:ind w:left="630" w:leftChars="0"/>
        <w:jc w:val="both"/>
        <w:rPr>
          <w:rFonts w:hint="default"/>
          <w:lang w:val="en-US" w:eastAsia="zh-CN"/>
        </w:rPr>
      </w:pPr>
    </w:p>
    <w:tbl>
      <w:tblPr>
        <w:tblStyle w:val="7"/>
        <w:tblW w:w="15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956"/>
        <w:gridCol w:w="2336"/>
        <w:gridCol w:w="3778"/>
        <w:gridCol w:w="1813"/>
        <w:gridCol w:w="1882"/>
        <w:gridCol w:w="1354"/>
        <w:gridCol w:w="1253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饮片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95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生产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工序</w:t>
            </w:r>
          </w:p>
        </w:tc>
        <w:tc>
          <w:tcPr>
            <w:tcW w:w="23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标准依据</w:t>
            </w:r>
          </w:p>
        </w:tc>
        <w:tc>
          <w:tcPr>
            <w:tcW w:w="37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炮制方法</w:t>
            </w:r>
          </w:p>
        </w:tc>
        <w:tc>
          <w:tcPr>
            <w:tcW w:w="181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工艺规程</w:t>
            </w:r>
          </w:p>
        </w:tc>
        <w:tc>
          <w:tcPr>
            <w:tcW w:w="18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主要检验项目/检验方法/检验设备</w:t>
            </w:r>
          </w:p>
        </w:tc>
        <w:tc>
          <w:tcPr>
            <w:tcW w:w="135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对照品/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对照药材</w:t>
            </w:r>
          </w:p>
        </w:tc>
        <w:tc>
          <w:tcPr>
            <w:tcW w:w="125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检验情况</w:t>
            </w: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西藏藏宝堂藏药有限公司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bookmarkStart w:id="0" w:name="OLE_LINK10"/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蛤蚧粉</w:t>
            </w:r>
            <w:bookmarkEnd w:id="0"/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《云南省中药饮片标准》</w:t>
            </w:r>
          </w:p>
          <w:p>
            <w:pPr>
              <w:widowControl/>
              <w:jc w:val="left"/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（2005年版）第一册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除去鳞片及头足，烘干，粉碎成及细粉。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《蛤蚧粉生产工艺规程》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bookmarkStart w:id="1" w:name="OLE_LINK11"/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性状、鉴别，检查、浸出物、微生物限度检测。</w:t>
            </w:r>
            <w:bookmarkEnd w:id="1"/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蛤蚧对照药材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红曲粉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《安徽省中药饮片炮制规范》（2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025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年版）安徽省中药饮片炮制规范单页标准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除去杂质，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粉碎成细粉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bookmarkStart w:id="2" w:name="OLE_LINK17"/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《红曲粉生产工艺规程》</w:t>
            </w:r>
            <w:bookmarkEnd w:id="2"/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bookmarkStart w:id="3" w:name="OLE_LINK19"/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性状、鉴别，检查、浸出物、含量测定、微生物限度检测。</w:t>
            </w:r>
            <w:bookmarkEnd w:id="3"/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洛伐他汀对照品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bookmarkStart w:id="4" w:name="OLE_LINK18"/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桦褐孔菌粉</w:t>
            </w:r>
            <w:bookmarkEnd w:id="4"/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海南省中药饮片炮制规范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》（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琼ZP2019--004--2023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）海南省中药饮片炮制规范单页标准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取桦褐孔菌原药材，除去杂质，切块，粉碎成细粉。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《桦褐孔菌粉生产工艺规程》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性状、鉴别，检查、浸出物、含量测定、微生物限度检测。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无水葡萄糖对照品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bookmarkStart w:id="5" w:name="OLE_LINK20"/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酒制蜂胶</w:t>
            </w:r>
            <w:bookmarkEnd w:id="5"/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净制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《中国药典》（2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025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年版）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取蜂胶粉碎，用乙醇浸泡溶解，滤过，滤液回收乙醇，晾干。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《酒制蜂胶生产工艺规程》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性状、鉴别，检查、浸出物、含量测定。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白杨素对照品、高良姜素对照品、咖啡酸苯乙酯对照品、蜂胶对照药材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鹿角粉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《辽宁省中药饮片炮制规范》（20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24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年版）辽宁省中药饮片炮制规范单页标准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取原药材，洗净，灭菌，干燥，破碎，粉碎，混合，分装，即得。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《鹿角粉生产工艺规程》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性状、检查、浸出物、微生物限度检测。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无。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鹿胎粉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《山东省中药饮片炮制规范》（20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12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年版）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取鹿胎，除去杂质，切成块，摆放于铁丝筛上，再置无烟的炉火上烘烤，烤热后，均匀地涂抹酥油（或麻油），待油渗入鹿胎块内部后，继续涂油和烘烤，如此反复操作，至表面黄色，质酥脆时，离火，取下，放凉，碾成粉末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《鹿胎粉生产工艺规程》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性状、检查、浸出物、含量测定、微生物限度检测。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无。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鹿血晶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冷冻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干燥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《安徽省中药饮片炮制规范》（A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HYJ-ZY012-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202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4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取新鲜鹿血，匀浆，滤过。冷冻干燥，即得。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《鹿血晶生产工艺规程》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bookmarkStart w:id="6" w:name="OLE_LINK26"/>
            <w:bookmarkStart w:id="7" w:name="OLE_LINK27"/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</w:t>
            </w:r>
            <w:bookmarkEnd w:id="6"/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、微生物限度检测。</w:t>
            </w:r>
            <w:bookmarkEnd w:id="7"/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鹿血晶对照饮片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D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NA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鉴别送检，其余检验项目自检。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w w:val="90"/>
                <w:szCs w:val="21"/>
              </w:rPr>
              <w:t>玫瑰花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净制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《中国药典》（2025年版）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取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玫瑰花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，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除去杂质，洗净，凉干，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《玫瑰花生产工艺规程》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无。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烫蕲蛇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炙制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《江西省中药饮片炮制规范》（2023年版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 xml:space="preserve"> 354-355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页）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取药材，去头、尾及鳞片，切段，筛尽灰屑，用黄酒拌匀吸尽，干燥，照砂炒法（《中国药典》2020 年版四部通则 0213）炒至酥脆透香、表面颜色加深。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《烫蕲蛇生产工艺规程》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蕲蛇对照药材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D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NA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鉴别送检，其余检验项目自检。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人工牛黄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混合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《中国药典》（2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025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年版）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牛胆粉、胆酸、猪去氧胆酸、牛磺酸、胆红素、胆固醇、微量元素等加工制成。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《人工牛黄生产工艺规程》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性状、鉴别，检查、含量测定、微生物限度检测。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胆酸对照品、胆红素对照品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桑黄粉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《海南省中药饮片炮制规范》（琼ZP2019-004-2023）海南省中药饮片炮制规范单页标准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取桑黄原药材，除去杂质和树皮，切块或砸成小块，粉碎成细粉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《桑黄粉生产工艺规程》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性状、鉴别，检查、浸出物、含量测定、微生物限度检测。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齐墩果酸对照品、桑黄对照药材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水蛭（菲牛蛭）冻干粉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冷冻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干燥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  <w:t>《西藏自治区药品监督管理局地方药材（饮片）质量标准》XZ-BC-0199-2025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取新鲜水蛭（菲牛蛭）或冷冻水蛭（菲牛蛭），洗净，匀浆，冷冻干燥，粉碎，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《水蛭（菲牛蛭）冻干粉生产工艺规程》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性状、鉴别，检查、浸出物、含量测定、微生物限度检测。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  <w:t>凝血酶对照品、（牛）纤维蛋白原对照品、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菲牛蛭对照药材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重金属检查送检，其余检验项目自检。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铁皮石斛粉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《内蒙古蒙药饮片炮制规范》（2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020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年版-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354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页）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取净铁皮石斛，研细粉或极细粉，过筛，即得。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《铁皮石斛粉生产工艺规程》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性状、检查、微生物限度检测。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无水葡萄糖对照品、甘露糖对照品、铁皮石斛对照药材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熊胆粉（冻干）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冷冻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干燥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《西藏自治区药品监督管理局地方药材（饮片）质量标准》（XZ-BC-074-2023）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取新鲜胆汁，滤过、冷冻干燥、粉碎、灭菌、即得。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《熊胆粉（冻干）生产工艺规程》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性状、鉴别，检查、含量测定、微生物限度检测。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猪去氧胆酸对照品、熊去氧胆酸对照品、鹅去氧胆酸对照品、牛胆粉对照药材、羊胆粉对照药材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延胡索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切制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《中国药典》（2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025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年版）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延胡索 除去杂质，洗净，润透，切厚片，干燥；或用时捣碎。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《延胡索生产工艺规程》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性状、鉴别，检查、浸出物、含量测定。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延胡索乙素对照品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、延胡索对照药材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color w:val="0C0C0C"/>
                <w:w w:val="90"/>
                <w:szCs w:val="21"/>
              </w:rPr>
              <w:t>真菌毒素送检，其余检验项目自检。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羊胎盘冻干粉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  <w:t>《西藏自治区药品监督管理局地方药材（饮片）质量标准》XZ-BC-0200-2025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取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新鲜羊胎盘，除去羊膜及脐带，用盐水清洗至干净，斩拌成小块，真空冷冻干燥，研成细粉，即得；或取冻干羊胎盘，研成细粉，即得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《羊胎盘冻干粉生产工艺规程》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性状、鉴别，检查、浸出物、微生物限度检测。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亮氨酸对照品、甘氨酸对照品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、羊胎盘对照药材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淡豆豉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发酵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《中国药典》（2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025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年版）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取桑叶、青蒿各70～100g，加水煎煮，滤过，煎液拌入净大豆1000g中，俟吸尽后，蒸透，取出，稍晾，再置容器内，用煎过的桑叶、青蒿渣覆盖，闷使发酵至黄衣上遍时，取出，除去药渣，洗净，置容器内再闷15～20天，至充分发酵、香气溢出时，取出，略蒸，干燥，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《淡豆豉生产工艺规程》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性状、鉴别，检查、含量测定。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脯氨酸对照品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、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缬氨酸对照品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、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大豆苷元对照品、染料木素对照品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、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淡豆豉对照药材、青蒿对照药材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桑叶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净制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《中国药典》（2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025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年版）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除去杂质，搓碎，去柄，筛去灰屑。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《桑叶生产工艺规程》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性状、检查。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无。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青蒿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净制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《中国药典》（2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025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年版）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除去杂质，喷淋清水，稍润，切段，干燥。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《青蒿生产工艺规程》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性状、检查。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无。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山楂粉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粉碎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《云南省食品药品监督管理局标准》（云Y</w:t>
            </w: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PBZ-0102-2008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）</w:t>
            </w:r>
          </w:p>
        </w:tc>
        <w:tc>
          <w:tcPr>
            <w:tcW w:w="377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取药材，净选，洗净，干燥，粉碎成中粉，即得。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《山楂粉生产工艺规程》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性状、鉴别，检查、外观均匀度、浸出物、含量测定、微生物限度检测。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textAlignment w:val="center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ascii="仿宋" w:hAnsi="仿宋" w:eastAsia="仿宋"/>
                <w:bCs/>
                <w:color w:val="0C0C0C"/>
                <w:w w:val="90"/>
                <w:szCs w:val="21"/>
              </w:rPr>
              <w:t>熊果酸对照品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bCs/>
                <w:color w:val="0C0C0C"/>
                <w:w w:val="9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自检。</w:t>
            </w:r>
          </w:p>
        </w:tc>
        <w:tc>
          <w:tcPr>
            <w:tcW w:w="6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w w:val="9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C0C0C"/>
                <w:w w:val="90"/>
                <w:kern w:val="0"/>
                <w:sz w:val="22"/>
                <w:szCs w:val="22"/>
                <w:lang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西藏十方药业集团有限公司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w w:val="90"/>
                <w:kern w:val="2"/>
                <w:sz w:val="21"/>
                <w:szCs w:val="21"/>
                <w:lang w:val="en-US" w:eastAsia="zh-CN" w:bidi="ar-SA"/>
              </w:rPr>
              <w:t>牛樟芝粉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挑选、水选、干燥、粉碎</w:t>
            </w:r>
          </w:p>
        </w:tc>
        <w:tc>
          <w:tcPr>
            <w:tcW w:w="2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《甘肃省中藏药材标准》</w:t>
            </w:r>
          </w:p>
        </w:tc>
        <w:tc>
          <w:tcPr>
            <w:tcW w:w="3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取牛樟芝，洗净，干燥，碾成细粉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Times New Roman"/>
                <w:bCs/>
                <w:color w:val="0C0C0C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《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  <w:lang w:eastAsia="zh-CN"/>
              </w:rPr>
              <w:t>牛樟芝</w:t>
            </w:r>
            <w:r>
              <w:rPr>
                <w:rFonts w:hint="eastAsia" w:ascii="仿宋" w:hAnsi="仿宋" w:eastAsia="仿宋"/>
                <w:bCs/>
                <w:color w:val="0C0C0C"/>
                <w:w w:val="90"/>
                <w:szCs w:val="21"/>
              </w:rPr>
              <w:t>粉生产工艺规程》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性状、鉴别、检查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浸出物、含量测定。</w:t>
            </w:r>
          </w:p>
        </w:tc>
        <w:tc>
          <w:tcPr>
            <w:tcW w:w="1354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黑体" w:cs="Times New Roman"/>
                <w:b/>
                <w:bCs w:val="0"/>
                <w:iCs/>
                <w:color w:val="auto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半乳糖对照品、葡萄糖对照品、甘露糖对照品、木糖对照品、D-无水葡萄糖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禁用农药委托谱尼测试集团股份有限公司检验，其余项目自检。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--</w:t>
            </w:r>
          </w:p>
        </w:tc>
      </w:tr>
    </w:tbl>
    <w:p>
      <w:pPr>
        <w:numPr>
          <w:ilvl w:val="0"/>
          <w:numId w:val="0"/>
        </w:numPr>
        <w:ind w:left="630" w:leftChars="0"/>
        <w:jc w:val="both"/>
        <w:rPr>
          <w:rFonts w:hint="default"/>
          <w:lang w:val="en-US" w:eastAsia="zh-CN"/>
        </w:rPr>
      </w:pPr>
    </w:p>
    <w:p>
      <w:bookmarkStart w:id="8" w:name="_GoBack"/>
      <w:bookmarkEnd w:id="8"/>
    </w:p>
    <w:sectPr>
      <w:pgSz w:w="16838" w:h="11906" w:orient="landscape"/>
      <w:pgMar w:top="1803" w:right="1440" w:bottom="1803" w:left="1440" w:header="850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Meiryo UI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Arial Unicode MS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0"/>
        </w:tabs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E1A91"/>
    <w:rsid w:val="476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spacing w:before="120" w:beforeLines="0" w:after="120" w:afterLines="0"/>
      <w:outlineLvl w:val="0"/>
    </w:pPr>
    <w:rPr>
      <w:rFonts w:eastAsia="黑体"/>
      <w:b/>
      <w:bCs/>
      <w:sz w:val="32"/>
      <w:szCs w:val="32"/>
    </w:rPr>
  </w:style>
  <w:style w:type="paragraph" w:styleId="2">
    <w:name w:val="heading 3"/>
    <w:basedOn w:val="3"/>
    <w:next w:val="1"/>
    <w:unhideWhenUsed/>
    <w:qFormat/>
    <w:uiPriority w:val="0"/>
    <w:pPr>
      <w:numPr>
        <w:ilvl w:val="2"/>
        <w:numId w:val="1"/>
      </w:numPr>
      <w:ind w:firstLineChars="0"/>
      <w:outlineLvl w:val="2"/>
    </w:pPr>
    <w:rPr>
      <w:bCs w:val="0"/>
      <w:iCs/>
      <w:sz w:val="28"/>
      <w:szCs w:val="21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2026-03-16T08:43:00Z</dcterms:created>
  <dc:creator>Administrator</dc:creator>
  <cp:lastModifiedBy>Administrator</cp:lastModifiedBy>
  <dcterms:modified xsi:type="dcterms:W3CDTF">2026-03-16T08:43:20Z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