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  <w:t>不符合规定项目小知识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>
      <w:pPr>
        <w:overflowPunct w:val="0"/>
        <w:spacing w:line="59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highlight w:val="none"/>
        </w:rPr>
        <w:t>性状</w:t>
      </w:r>
      <w:r>
        <w:rPr>
          <w:rFonts w:eastAsia="仿宋_GB2312"/>
          <w:sz w:val="32"/>
          <w:szCs w:val="32"/>
        </w:rPr>
        <w:t>项下</w:t>
      </w:r>
      <w:r>
        <w:rPr>
          <w:rFonts w:hint="eastAsia" w:eastAsia="仿宋_GB2312"/>
          <w:sz w:val="32"/>
          <w:szCs w:val="32"/>
        </w:rPr>
        <w:t>常</w:t>
      </w:r>
      <w:r>
        <w:rPr>
          <w:rFonts w:eastAsia="仿宋_GB2312"/>
          <w:sz w:val="32"/>
          <w:szCs w:val="32"/>
        </w:rPr>
        <w:t>记载外观、臭、味、溶解度以及物理常数等，在一定程度上反映药品的质量特性。</w:t>
      </w:r>
      <w:r>
        <w:rPr>
          <w:rFonts w:hint="eastAsia" w:eastAsia="仿宋_GB2312"/>
          <w:sz w:val="32"/>
          <w:szCs w:val="32"/>
          <w:lang w:eastAsia="zh-CN"/>
        </w:rPr>
        <w:t>中药饮片性状项不符合规定，可能涉及药材种属偏差、炮制工艺有瑕疵、储存不当等情形。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D75EF"/>
    <w:rsid w:val="036C3487"/>
    <w:rsid w:val="324D75EF"/>
    <w:rsid w:val="6E2A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495</Characters>
  <Lines>0</Lines>
  <Paragraphs>0</Paragraphs>
  <TotalTime>2</TotalTime>
  <ScaleCrop>false</ScaleCrop>
  <LinksUpToDate>false</LinksUpToDate>
  <CharactersWithSpaces>495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2025-12-04T02:05:00Z</dcterms:created>
  <dc:creator>新祺</dc:creator>
  <cp:lastModifiedBy>龙惠贞</cp:lastModifiedBy>
  <dcterms:modified xsi:type="dcterms:W3CDTF">2026-03-26T02:52:21Z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9BAC45C8EA7F456C9E61F2445F502F2B</vt:lpwstr>
  </property>
  <property fmtid="{D5CDD505-2E9C-101B-9397-08002B2CF9AE}" pid="4" name="KSOTemplateDocerSaveRecord">
    <vt:lpwstr>eyJoZGlkIjoiMmMxYTAwM2ZhNWQzNTQzMjFjMDI1MWFiNTQxNDJiOTEiLCJ1c2VySWQiOiIyNzUwNzExNzYifQ==</vt:lpwstr>
  </property>
</Properties>
</file>