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D1CC1">
      <w:pPr>
        <w:pStyle w:val="2"/>
        <w:jc w:val="center"/>
        <w:rPr>
          <w:rFonts w:ascii="方正小标宋_GBK" w:eastAsia="方正小标宋_GBK"/>
          <w:sz w:val="40"/>
          <w:szCs w:val="28"/>
        </w:rPr>
      </w:pPr>
      <w:r>
        <w:rPr>
          <w:rFonts w:hint="eastAsia" w:ascii="方正小标宋_GBK" w:eastAsia="方正小标宋_GBK"/>
          <w:sz w:val="40"/>
          <w:szCs w:val="28"/>
        </w:rPr>
        <w:t>“政务·渝药安”企业服务门户</w:t>
      </w:r>
    </w:p>
    <w:p w14:paraId="43F4D8A0">
      <w:pPr>
        <w:pStyle w:val="2"/>
        <w:jc w:val="center"/>
        <w:rPr>
          <w:rFonts w:ascii="方正小标宋_GBK" w:eastAsia="方正小标宋_GBK"/>
          <w:sz w:val="40"/>
          <w:szCs w:val="28"/>
        </w:rPr>
      </w:pPr>
      <w:r>
        <w:rPr>
          <w:rFonts w:hint="eastAsia" w:ascii="方正小标宋_GBK" w:eastAsia="方正小标宋_GBK"/>
          <w:sz w:val="40"/>
          <w:szCs w:val="28"/>
        </w:rPr>
        <w:t>企业端使用手册</w:t>
      </w:r>
    </w:p>
    <w:p w14:paraId="23275B07">
      <w:pPr>
        <w:jc w:val="center"/>
        <w:rPr>
          <w:rFonts w:ascii="仿宋_GB2312" w:eastAsia="仿宋_GB2312"/>
        </w:rPr>
      </w:pPr>
    </w:p>
    <w:p w14:paraId="37DBDA69">
      <w:pPr>
        <w:rPr>
          <w:rFonts w:ascii="仿宋_GB2312" w:eastAsia="仿宋_GB2312"/>
        </w:rPr>
      </w:pPr>
    </w:p>
    <w:p w14:paraId="0856B0D6">
      <w:pPr>
        <w:pStyle w:val="3"/>
        <w:rPr>
          <w:rFonts w:ascii="仿宋_GB2312" w:eastAsia="仿宋_GB2312"/>
        </w:rPr>
      </w:pPr>
      <w:r>
        <w:rPr>
          <w:rFonts w:hint="eastAsia" w:ascii="仿宋_GB2312" w:eastAsia="仿宋_GB2312"/>
        </w:rPr>
        <w:t>一、前言</w:t>
      </w:r>
    </w:p>
    <w:p w14:paraId="7C4E0571">
      <w:pPr>
        <w:ind w:firstLine="440" w:firstLineChars="200"/>
        <w:rPr>
          <w:rFonts w:hint="eastAsia" w:ascii="仿宋_GB2312" w:hAnsi="宋体" w:eastAsia="仿宋_GB2312"/>
        </w:rPr>
      </w:pPr>
      <w:r>
        <w:rPr>
          <w:rFonts w:hint="eastAsia" w:ascii="仿宋_GB2312" w:hAnsi="宋体" w:eastAsia="仿宋_GB2312"/>
        </w:rPr>
        <w:t>本操作手册旨在为“两品一械”企业用户提供关于“政务·渝药安”企业服务门户监管端</w:t>
      </w:r>
      <w:r>
        <w:rPr>
          <w:rFonts w:hint="eastAsia" w:ascii="仿宋_GB2312" w:eastAsia="仿宋_GB2312"/>
        </w:rPr>
        <w:t>（以下简称“企业端”）</w:t>
      </w:r>
      <w:r>
        <w:rPr>
          <w:rFonts w:hint="eastAsia" w:ascii="仿宋_GB2312" w:hAnsi="宋体" w:eastAsia="仿宋_GB2312"/>
        </w:rPr>
        <w:t>的详细操作指南，帮助用户熟悉和掌握</w:t>
      </w:r>
      <w:r>
        <w:rPr>
          <w:rFonts w:hint="eastAsia" w:ascii="仿宋_GB2312" w:eastAsia="仿宋_GB2312"/>
        </w:rPr>
        <w:t>企业端</w:t>
      </w:r>
      <w:r>
        <w:rPr>
          <w:rFonts w:hint="eastAsia" w:ascii="仿宋_GB2312" w:hAnsi="宋体" w:eastAsia="仿宋_GB2312"/>
        </w:rPr>
        <w:t>的各项功能，以便高效地使用该平台完成各类业务操作。</w:t>
      </w:r>
    </w:p>
    <w:p w14:paraId="79A2CD84">
      <w:pPr>
        <w:rPr>
          <w:rFonts w:ascii="仿宋_GB2312" w:eastAsia="仿宋_GB2312"/>
        </w:rPr>
      </w:pPr>
    </w:p>
    <w:p w14:paraId="75B334DE">
      <w:pPr>
        <w:pStyle w:val="3"/>
        <w:rPr>
          <w:rFonts w:ascii="仿宋_GB2312" w:eastAsia="仿宋_GB2312"/>
        </w:rPr>
      </w:pPr>
      <w:r>
        <w:rPr>
          <w:rFonts w:hint="eastAsia" w:ascii="仿宋_GB2312" w:eastAsia="仿宋_GB2312"/>
        </w:rPr>
        <w:t>二、系统概述</w:t>
      </w:r>
    </w:p>
    <w:p w14:paraId="77000E06">
      <w:pPr>
        <w:ind w:firstLine="440" w:firstLineChars="200"/>
        <w:rPr>
          <w:rFonts w:ascii="仿宋_GB2312" w:eastAsia="仿宋_GB2312"/>
        </w:rPr>
      </w:pPr>
      <w:r>
        <w:rPr>
          <w:rFonts w:hint="eastAsia" w:ascii="仿宋_GB2312" w:eastAsia="仿宋_GB2312"/>
        </w:rPr>
        <w:t>企业服务门户是由重庆市药监局面向药品、医疗器械、化妆品企业打造的一站式数字化政务服务平台，集业务办理、政策查询和监管协同功能于一体。企业用户通过 “渝快办” 统一身份认证即可安全登录，可实时查收通知公告及药监业务消息，便捷获取政策文件与解读信息。企业服务门户企业端作为“渝快办”事项服务的延伸（补充），提供以下核心功能：药品年度生产计划申报、停产/复产报告提交、药品召回管理，以及药品经营许可证（批发/连锁/零售）补发服务；同时涵盖医疗器械管理者代表信息维护、第二类医疗器械（含体外诊断试剂）产品注册办理、生产状态变更（停产/复产/生产条件变更/产品品种调整）报告、网络销售备案及临床试验检查申请、智慧医疗装备重点培育项目信息填报等业务。企业还可以：在线查阅抽样检验记录、企业基本信息，追踪在办/历史审批进度，处理现场检查整改事项，配置短信接收人、管理电子签章等。后期还将会根据业务需要扩展其他登记服务。</w:t>
      </w:r>
    </w:p>
    <w:p w14:paraId="5826F33D">
      <w:pPr>
        <w:ind w:firstLine="442" w:firstLineChars="200"/>
        <w:rPr>
          <w:rFonts w:ascii="仿宋_GB2312" w:eastAsia="仿宋_GB2312"/>
        </w:rPr>
      </w:pPr>
      <w:r>
        <w:rPr>
          <w:rFonts w:hint="eastAsia" w:ascii="仿宋_GB2312" w:eastAsia="仿宋_GB2312"/>
          <w:b/>
        </w:rPr>
        <w:t xml:space="preserve">企业用户使用方式： </w:t>
      </w:r>
      <w:r>
        <w:rPr>
          <w:rFonts w:hint="eastAsia" w:ascii="仿宋_GB2312" w:eastAsia="仿宋_GB2312"/>
        </w:rPr>
        <w:t>访问渝快办 → 点击登录 → 选择法人用户 → 输入凭证点击登录 → 点击特色专栏 → 点击“政务·渝药安·企业服务” → 完成授权（仅第一次） → 进入企业端 → 使用企业端 → 退出登录。</w:t>
      </w:r>
    </w:p>
    <w:p w14:paraId="694E5D20">
      <w:pPr>
        <w:rPr>
          <w:rFonts w:ascii="仿宋_GB2312" w:eastAsia="仿宋_GB2312"/>
        </w:rPr>
      </w:pPr>
    </w:p>
    <w:p w14:paraId="7E577907">
      <w:pPr>
        <w:pStyle w:val="3"/>
        <w:rPr>
          <w:rFonts w:ascii="仿宋_GB2312" w:eastAsia="仿宋_GB2312"/>
        </w:rPr>
      </w:pPr>
      <w:r>
        <w:rPr>
          <w:rFonts w:hint="eastAsia" w:ascii="仿宋_GB2312" w:eastAsia="仿宋_GB2312"/>
        </w:rPr>
        <w:t>三、登录与退出</w:t>
      </w:r>
    </w:p>
    <w:p w14:paraId="7CCAEAAA">
      <w:pPr>
        <w:pStyle w:val="4"/>
        <w:rPr>
          <w:rFonts w:ascii="仿宋_GB2312" w:eastAsia="仿宋_GB2312"/>
        </w:rPr>
      </w:pPr>
      <w:r>
        <w:rPr>
          <w:rFonts w:hint="eastAsia" w:ascii="仿宋_GB2312" w:eastAsia="仿宋_GB2312"/>
        </w:rPr>
        <w:t>（一）登录</w:t>
      </w:r>
    </w:p>
    <w:p w14:paraId="0F9975F8">
      <w:pPr>
        <w:pStyle w:val="5"/>
        <w:ind w:left="440"/>
        <w:rPr>
          <w:rFonts w:ascii="仿宋_GB2312" w:eastAsia="仿宋_GB2312"/>
        </w:rPr>
      </w:pPr>
      <w:r>
        <w:rPr>
          <w:rFonts w:hint="eastAsia" w:ascii="仿宋_GB2312" w:eastAsia="仿宋_GB2312"/>
        </w:rPr>
        <w:t>1. 渝快办统一登录</w:t>
      </w:r>
    </w:p>
    <w:p w14:paraId="0D4F6877">
      <w:pPr>
        <w:numPr>
          <w:ilvl w:val="0"/>
          <w:numId w:val="1"/>
        </w:numPr>
        <w:ind w:left="776"/>
        <w:rPr>
          <w:rFonts w:ascii="仿宋_GB2312" w:eastAsia="仿宋_GB2312"/>
        </w:rPr>
      </w:pPr>
      <w:r>
        <w:rPr>
          <w:rFonts w:hint="eastAsia" w:ascii="仿宋_GB2312" w:eastAsia="仿宋_GB2312"/>
        </w:rPr>
        <w:t>企业用户访问渝快办，点击【</w:t>
      </w:r>
      <w:r>
        <w:rPr>
          <w:rFonts w:hint="eastAsia" w:ascii="仿宋_GB2312" w:eastAsia="仿宋_GB2312"/>
          <w:b/>
        </w:rPr>
        <w:t>登录</w:t>
      </w:r>
      <w:r>
        <w:rPr>
          <w:rFonts w:hint="eastAsia" w:ascii="仿宋_GB2312" w:eastAsia="仿宋_GB2312"/>
        </w:rPr>
        <w:t>】按钮，进入渝快办统一登录页面。</w:t>
      </w:r>
    </w:p>
    <w:p w14:paraId="3A6747A4">
      <w:pPr>
        <w:numPr>
          <w:ilvl w:val="0"/>
          <w:numId w:val="1"/>
        </w:numPr>
        <w:ind w:left="776"/>
        <w:rPr>
          <w:rFonts w:ascii="仿宋_GB2312" w:eastAsia="仿宋_GB2312"/>
        </w:rPr>
      </w:pPr>
      <w:r>
        <w:rPr>
          <w:rFonts w:hint="eastAsia" w:ascii="仿宋_GB2312" w:eastAsia="仿宋_GB2312"/>
        </w:rPr>
        <w:t>渝快办统一登录页面中，选择</w:t>
      </w:r>
      <w:r>
        <w:rPr>
          <w:rFonts w:hint="eastAsia" w:ascii="仿宋_GB2312" w:eastAsia="仿宋_GB2312"/>
          <w:b/>
        </w:rPr>
        <w:t>【法人用户】</w:t>
      </w:r>
      <w:r>
        <w:rPr>
          <w:rFonts w:hint="eastAsia" w:ascii="仿宋_GB2312" w:eastAsia="仿宋_GB2312"/>
        </w:rPr>
        <w:t>，然后输入渝快办的账号、密码和验证码。</w:t>
      </w:r>
    </w:p>
    <w:p w14:paraId="27343113">
      <w:pPr>
        <w:numPr>
          <w:ilvl w:val="1"/>
          <w:numId w:val="1"/>
        </w:numPr>
        <w:ind w:left="1216"/>
        <w:rPr>
          <w:rFonts w:ascii="仿宋_GB2312" w:eastAsia="仿宋_GB2312"/>
        </w:rPr>
      </w:pPr>
      <w:r>
        <w:rPr>
          <w:rFonts w:hint="eastAsia" w:ascii="仿宋_GB2312" w:eastAsia="仿宋_GB2312"/>
        </w:rPr>
        <w:t>用户名和密码由渝快办统一分配和设置。</w:t>
      </w:r>
    </w:p>
    <w:p w14:paraId="184B7F38">
      <w:pPr>
        <w:numPr>
          <w:ilvl w:val="1"/>
          <w:numId w:val="1"/>
        </w:numPr>
        <w:ind w:left="1216"/>
        <w:rPr>
          <w:rFonts w:ascii="仿宋_GB2312" w:eastAsia="仿宋_GB2312"/>
        </w:rPr>
      </w:pPr>
      <w:r>
        <w:rPr>
          <w:rFonts w:hint="eastAsia" w:ascii="仿宋_GB2312" w:eastAsia="仿宋_GB2312"/>
        </w:rPr>
        <w:t>确保输入的信息准确无误，注意区分大小写。</w:t>
      </w:r>
    </w:p>
    <w:p w14:paraId="235C4E9A">
      <w:pPr>
        <w:numPr>
          <w:ilvl w:val="0"/>
          <w:numId w:val="1"/>
        </w:numPr>
        <w:ind w:left="776"/>
        <w:rPr>
          <w:rFonts w:ascii="仿宋_GB2312" w:eastAsia="仿宋_GB2312"/>
        </w:rPr>
      </w:pPr>
      <w:r>
        <w:rPr>
          <w:rFonts w:hint="eastAsia" w:ascii="仿宋_GB2312" w:eastAsia="仿宋_GB2312"/>
        </w:rPr>
        <w:t>点击</w:t>
      </w:r>
      <w:r>
        <w:rPr>
          <w:rFonts w:hint="eastAsia" w:ascii="仿宋_GB2312" w:eastAsia="仿宋_GB2312"/>
          <w:b/>
        </w:rPr>
        <w:t>【登录】</w:t>
      </w:r>
      <w:r>
        <w:rPr>
          <w:rFonts w:hint="eastAsia" w:ascii="仿宋_GB2312" w:eastAsia="仿宋_GB2312"/>
        </w:rPr>
        <w:t>按钮，系统将验证用户身份。如果用户名和密码正确，将成功登录到渝快办，并跳转至企业端；如果输入错误，系统将提示相应的错误信息，请重新核对并输入。</w:t>
      </w:r>
    </w:p>
    <w:p w14:paraId="274039D2">
      <w:pPr>
        <w:ind w:left="336"/>
        <w:rPr>
          <w:rFonts w:ascii="仿宋_GB2312" w:eastAsia="仿宋_GB2312"/>
        </w:rPr>
      </w:pPr>
      <w:r>
        <w:rPr>
          <w:rFonts w:hint="eastAsia" w:ascii="仿宋_GB2312" w:eastAsia="仿宋_GB2312"/>
        </w:rPr>
        <w:drawing>
          <wp:inline distT="0" distB="0" distL="0" distR="0">
            <wp:extent cx="4868545" cy="271462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4868545" cy="2714823"/>
                    </a:xfrm>
                    <a:prstGeom prst="rect">
                      <a:avLst/>
                    </a:prstGeom>
                  </pic:spPr>
                </pic:pic>
              </a:graphicData>
            </a:graphic>
          </wp:inline>
        </w:drawing>
      </w:r>
    </w:p>
    <w:p w14:paraId="65F6F8E4">
      <w:pPr>
        <w:numPr>
          <w:ilvl w:val="1"/>
          <w:numId w:val="1"/>
        </w:numPr>
        <w:rPr>
          <w:rFonts w:ascii="仿宋_GB2312" w:eastAsia="仿宋_GB2312"/>
        </w:rPr>
      </w:pPr>
      <w:r>
        <w:rPr>
          <w:rFonts w:hint="eastAsia" w:ascii="仿宋_GB2312" w:eastAsia="仿宋_GB2312"/>
        </w:rPr>
        <w:t>如果是首次登录企业端，将进入授权页面，请勾选“我已阅读并同意”，点击</w:t>
      </w:r>
      <w:r>
        <w:rPr>
          <w:rFonts w:hint="eastAsia" w:ascii="仿宋_GB2312" w:eastAsia="仿宋_GB2312"/>
          <w:b/>
        </w:rPr>
        <w:t>【同意授权】</w:t>
      </w:r>
      <w:r>
        <w:rPr>
          <w:rFonts w:hint="eastAsia" w:ascii="仿宋_GB2312" w:eastAsia="仿宋_GB2312"/>
        </w:rPr>
        <w:t>，将跳转至企业端：</w:t>
      </w:r>
    </w:p>
    <w:p w14:paraId="4EB7273B">
      <w:pPr>
        <w:ind w:left="336"/>
        <w:rPr>
          <w:rFonts w:ascii="仿宋_GB2312" w:eastAsia="仿宋_GB2312"/>
        </w:rPr>
      </w:pPr>
      <w:r>
        <w:rPr>
          <w:rFonts w:hint="eastAsia" w:ascii="仿宋_GB2312" w:eastAsia="仿宋_GB2312"/>
        </w:rPr>
        <w:drawing>
          <wp:inline distT="0" distB="0" distL="0" distR="0">
            <wp:extent cx="5064760" cy="365379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5064760" cy="3653863"/>
                    </a:xfrm>
                    <a:prstGeom prst="rect">
                      <a:avLst/>
                    </a:prstGeom>
                  </pic:spPr>
                </pic:pic>
              </a:graphicData>
            </a:graphic>
          </wp:inline>
        </w:drawing>
      </w:r>
    </w:p>
    <w:p w14:paraId="6368EB8E">
      <w:pPr>
        <w:pStyle w:val="5"/>
        <w:ind w:left="440"/>
        <w:rPr>
          <w:rFonts w:ascii="仿宋_GB2312" w:eastAsia="仿宋_GB2312"/>
        </w:rPr>
      </w:pPr>
      <w:r>
        <w:rPr>
          <w:rFonts w:hint="eastAsia" w:ascii="仿宋_GB2312" w:eastAsia="仿宋_GB2312"/>
        </w:rPr>
        <w:t>2. 使用渝快办“特色专栏”打开企业端</w:t>
      </w:r>
    </w:p>
    <w:p w14:paraId="4B21A0B8">
      <w:pPr>
        <w:numPr>
          <w:ilvl w:val="0"/>
          <w:numId w:val="2"/>
        </w:numPr>
        <w:ind w:left="776"/>
        <w:rPr>
          <w:rFonts w:ascii="仿宋_GB2312" w:eastAsia="仿宋_GB2312"/>
          <w:color w:val="000000"/>
        </w:rPr>
      </w:pPr>
      <w:r>
        <w:rPr>
          <w:rFonts w:hint="eastAsia" w:ascii="仿宋_GB2312" w:eastAsia="仿宋_GB2312"/>
          <w:color w:val="000000"/>
        </w:rPr>
        <w:t>企业用户可以在特色专栏下直接找到</w:t>
      </w:r>
      <w:r>
        <w:rPr>
          <w:rFonts w:hint="eastAsia" w:ascii="仿宋_GB2312" w:eastAsia="仿宋_GB2312"/>
          <w:b/>
          <w:color w:val="000000"/>
        </w:rPr>
        <w:t>“政务·渝药安·企业服务”</w:t>
      </w:r>
      <w:r>
        <w:rPr>
          <w:rFonts w:hint="eastAsia" w:ascii="仿宋_GB2312" w:eastAsia="仿宋_GB2312"/>
          <w:color w:val="000000"/>
        </w:rPr>
        <w:t>的图片链接，已登录的用户点击即可跳转到企业端，未登录用户将在进入渝快办统一登录页面并完成登录（详见上述“渝快办统一登录”）后跳转至企业端：</w:t>
      </w:r>
      <w:r>
        <w:rPr>
          <w:rFonts w:hint="eastAsia" w:ascii="仿宋_GB2312" w:eastAsia="仿宋_GB2312"/>
          <w:color w:val="000000"/>
        </w:rPr>
        <w:tab/>
      </w:r>
    </w:p>
    <w:p w14:paraId="29D22255">
      <w:pPr>
        <w:rPr>
          <w:rFonts w:ascii="仿宋_GB2312" w:eastAsia="仿宋_GB2312"/>
        </w:rPr>
      </w:pPr>
      <w:r>
        <w:drawing>
          <wp:inline distT="0" distB="0" distL="0" distR="0">
            <wp:extent cx="5278120" cy="2985770"/>
            <wp:effectExtent l="0" t="0" r="0" b="5080"/>
            <wp:docPr id="2023318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8974" name="图片 1"/>
                    <pic:cNvPicPr>
                      <a:picLocks noChangeAspect="1"/>
                    </pic:cNvPicPr>
                  </pic:nvPicPr>
                  <pic:blipFill>
                    <a:blip r:embed="rId7"/>
                    <a:stretch>
                      <a:fillRect/>
                    </a:stretch>
                  </pic:blipFill>
                  <pic:spPr>
                    <a:xfrm>
                      <a:off x="0" y="0"/>
                      <a:ext cx="5278120" cy="2985770"/>
                    </a:xfrm>
                    <a:prstGeom prst="rect">
                      <a:avLst/>
                    </a:prstGeom>
                  </pic:spPr>
                </pic:pic>
              </a:graphicData>
            </a:graphic>
          </wp:inline>
        </w:drawing>
      </w:r>
    </w:p>
    <w:p w14:paraId="7D7BED1E">
      <w:pPr>
        <w:pStyle w:val="5"/>
        <w:ind w:left="440"/>
        <w:rPr>
          <w:rFonts w:ascii="仿宋_GB2312" w:eastAsia="仿宋_GB2312"/>
        </w:rPr>
      </w:pPr>
      <w:r>
        <w:rPr>
          <w:rFonts w:hint="eastAsia" w:ascii="仿宋_GB2312" w:eastAsia="仿宋_GB2312"/>
        </w:rPr>
        <w:t>3.  设置短信接收人和电子签章</w:t>
      </w:r>
    </w:p>
    <w:p w14:paraId="16449ABA">
      <w:pPr>
        <w:numPr>
          <w:ilvl w:val="0"/>
          <w:numId w:val="3"/>
        </w:numPr>
        <w:ind w:left="776"/>
        <w:rPr>
          <w:rFonts w:ascii="仿宋_GB2312" w:eastAsia="仿宋_GB2312"/>
          <w:color w:val="000000"/>
        </w:rPr>
      </w:pPr>
      <w:r>
        <w:rPr>
          <w:rFonts w:hint="eastAsia" w:ascii="仿宋_GB2312" w:eastAsia="仿宋_GB2312"/>
          <w:color w:val="000000"/>
        </w:rPr>
        <w:t>系统将根据不同类型的消息发送给企业：</w:t>
      </w:r>
      <w:r>
        <w:rPr>
          <w:rFonts w:hint="eastAsia" w:ascii="仿宋_GB2312" w:eastAsia="仿宋_GB2312"/>
          <w:color w:val="000000"/>
        </w:rPr>
        <w:tab/>
      </w:r>
    </w:p>
    <w:p w14:paraId="60F08ABD">
      <w:pPr>
        <w:numPr>
          <w:ilvl w:val="2"/>
          <w:numId w:val="3"/>
        </w:numPr>
        <w:rPr>
          <w:rFonts w:ascii="仿宋_GB2312" w:eastAsia="仿宋_GB2312"/>
          <w:color w:val="000000"/>
        </w:rPr>
      </w:pPr>
      <w:r>
        <w:rPr>
          <w:rFonts w:hint="eastAsia" w:ascii="仿宋_GB2312" w:eastAsia="仿宋_GB2312"/>
          <w:color w:val="000000"/>
        </w:rPr>
        <w:t>普通消息仅发送到企业端的消息中心，用户登录即可查看；</w:t>
      </w:r>
    </w:p>
    <w:p w14:paraId="07076535">
      <w:pPr>
        <w:numPr>
          <w:ilvl w:val="2"/>
          <w:numId w:val="3"/>
        </w:numPr>
        <w:rPr>
          <w:rFonts w:ascii="仿宋_GB2312" w:eastAsia="仿宋_GB2312"/>
          <w:color w:val="000000"/>
        </w:rPr>
      </w:pPr>
      <w:r>
        <w:rPr>
          <w:rFonts w:hint="eastAsia" w:ascii="仿宋_GB2312" w:eastAsia="仿宋_GB2312"/>
          <w:color w:val="000000"/>
        </w:rPr>
        <w:t>为确保提醒类、预警类消息的送达，系统将以短信方式发送到企业设置的接收人手机上。</w:t>
      </w:r>
    </w:p>
    <w:p w14:paraId="41C24EFC">
      <w:pPr>
        <w:numPr>
          <w:ilvl w:val="0"/>
          <w:numId w:val="3"/>
        </w:numPr>
        <w:ind w:left="776"/>
        <w:rPr>
          <w:rFonts w:ascii="仿宋_GB2312" w:eastAsia="仿宋_GB2312"/>
        </w:rPr>
      </w:pPr>
      <w:r>
        <w:rPr>
          <w:rFonts w:hint="eastAsia" w:ascii="仿宋_GB2312" w:eastAsia="仿宋_GB2312"/>
        </w:rPr>
        <w:t>如果用户未设置短信接收人，每次登录系统后，将自动弹层以提示用户填写接收人信息。用户填写完后点【</w:t>
      </w:r>
      <w:r>
        <w:rPr>
          <w:rFonts w:hint="eastAsia" w:ascii="仿宋_GB2312" w:eastAsia="仿宋_GB2312"/>
          <w:b/>
        </w:rPr>
        <w:t>确定</w:t>
      </w:r>
      <w:r>
        <w:rPr>
          <w:rFonts w:hint="eastAsia" w:ascii="仿宋_GB2312" w:eastAsia="仿宋_GB2312"/>
        </w:rPr>
        <w:t>】以保存；如果暂时不能确定，也可以点击</w:t>
      </w:r>
      <w:r>
        <w:rPr>
          <w:rFonts w:hint="eastAsia" w:ascii="仿宋_GB2312" w:eastAsia="仿宋_GB2312"/>
          <w:b/>
        </w:rPr>
        <w:t>【跳过】</w:t>
      </w:r>
      <w:r>
        <w:rPr>
          <w:rFonts w:hint="eastAsia" w:ascii="仿宋_GB2312" w:eastAsia="仿宋_GB2312"/>
        </w:rPr>
        <w:t>按钮先跳过输入：</w:t>
      </w:r>
    </w:p>
    <w:p w14:paraId="565D043E">
      <w:pPr>
        <w:rPr>
          <w:rFonts w:ascii="仿宋_GB2312" w:eastAsia="仿宋_GB2312"/>
        </w:rPr>
      </w:pPr>
      <w:r>
        <w:rPr>
          <w:rFonts w:hint="eastAsia" w:ascii="仿宋_GB2312" w:eastAsia="仿宋_GB2312"/>
        </w:rPr>
        <w:tab/>
      </w:r>
      <w:r>
        <w:rPr>
          <w:rFonts w:hint="eastAsia" w:ascii="仿宋_GB2312" w:eastAsia="仿宋_GB2312"/>
        </w:rPr>
        <w:drawing>
          <wp:inline distT="0" distB="0" distL="0" distR="0">
            <wp:extent cx="5278120" cy="290957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8"/>
                    <a:stretch>
                      <a:fillRect/>
                    </a:stretch>
                  </pic:blipFill>
                  <pic:spPr>
                    <a:xfrm>
                      <a:off x="0" y="0"/>
                      <a:ext cx="5278120" cy="2910185"/>
                    </a:xfrm>
                    <a:prstGeom prst="rect">
                      <a:avLst/>
                    </a:prstGeom>
                  </pic:spPr>
                </pic:pic>
              </a:graphicData>
            </a:graphic>
          </wp:inline>
        </w:drawing>
      </w:r>
    </w:p>
    <w:p w14:paraId="4978B18A">
      <w:pPr>
        <w:numPr>
          <w:ilvl w:val="1"/>
          <w:numId w:val="3"/>
        </w:numPr>
        <w:rPr>
          <w:rFonts w:ascii="仿宋_GB2312" w:eastAsia="仿宋_GB2312"/>
        </w:rPr>
      </w:pPr>
      <w:r>
        <w:rPr>
          <w:rFonts w:hint="eastAsia" w:ascii="仿宋_GB2312" w:eastAsia="仿宋_GB2312"/>
        </w:rPr>
        <w:t>如需设置短信接收人、企业签章，可以在页头区域点击</w:t>
      </w:r>
      <w:r>
        <w:rPr>
          <w:rFonts w:hint="eastAsia" w:ascii="仿宋_GB2312" w:eastAsia="仿宋_GB2312"/>
          <w:b/>
        </w:rPr>
        <w:t>【设置】</w:t>
      </w:r>
      <w:r>
        <w:rPr>
          <w:rFonts w:hint="eastAsia" w:ascii="仿宋_GB2312" w:eastAsia="仿宋_GB2312"/>
        </w:rPr>
        <w:t>按钮，在弹层中填写：</w:t>
      </w:r>
    </w:p>
    <w:p w14:paraId="363FCE01">
      <w:pPr>
        <w:rPr>
          <w:rFonts w:ascii="仿宋_GB2312" w:eastAsia="仿宋_GB2312"/>
        </w:rPr>
      </w:pPr>
      <w:r>
        <w:rPr>
          <w:rFonts w:hint="eastAsia" w:ascii="仿宋_GB2312" w:eastAsia="仿宋_GB2312"/>
        </w:rPr>
        <w:tab/>
      </w:r>
      <w:r>
        <w:rPr>
          <w:rFonts w:hint="eastAsia" w:ascii="仿宋_GB2312" w:eastAsia="仿宋_GB2312"/>
        </w:rPr>
        <w:drawing>
          <wp:inline distT="0" distB="0" distL="0" distR="0">
            <wp:extent cx="4830445" cy="269303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9"/>
                    <a:stretch>
                      <a:fillRect/>
                    </a:stretch>
                  </pic:blipFill>
                  <pic:spPr>
                    <a:xfrm>
                      <a:off x="0" y="0"/>
                      <a:ext cx="4830445" cy="2693577"/>
                    </a:xfrm>
                    <a:prstGeom prst="rect">
                      <a:avLst/>
                    </a:prstGeom>
                  </pic:spPr>
                </pic:pic>
              </a:graphicData>
            </a:graphic>
          </wp:inline>
        </w:drawing>
      </w:r>
    </w:p>
    <w:p w14:paraId="48CED228">
      <w:pPr>
        <w:numPr>
          <w:ilvl w:val="1"/>
          <w:numId w:val="3"/>
        </w:numPr>
        <w:rPr>
          <w:rFonts w:ascii="仿宋_GB2312" w:eastAsia="仿宋_GB2312"/>
        </w:rPr>
      </w:pPr>
      <w:r>
        <w:rPr>
          <w:rFonts w:hint="eastAsia" w:ascii="仿宋_GB2312" w:eastAsia="仿宋_GB2312"/>
          <w:b/>
        </w:rPr>
        <w:t>注意</w:t>
      </w:r>
      <w:r>
        <w:rPr>
          <w:rFonts w:hint="eastAsia" w:ascii="仿宋_GB2312" w:eastAsia="仿宋_GB2312"/>
        </w:rPr>
        <w:t>： 在业务办理完毕后，请务</w:t>
      </w:r>
      <w:r>
        <w:rPr>
          <w:rFonts w:hint="eastAsia" w:ascii="仿宋_GB2312" w:eastAsia="仿宋_GB2312"/>
          <w:b/>
        </w:rPr>
        <w:t>必请尽快完成设置</w:t>
      </w:r>
      <w:r>
        <w:rPr>
          <w:rFonts w:hint="eastAsia" w:ascii="仿宋_GB2312" w:eastAsia="仿宋_GB2312"/>
        </w:rPr>
        <w:t>，避免错过重要消息。</w:t>
      </w:r>
    </w:p>
    <w:p w14:paraId="4161218C">
      <w:pPr>
        <w:rPr>
          <w:rFonts w:ascii="仿宋_GB2312" w:eastAsia="仿宋_GB2312"/>
        </w:rPr>
      </w:pPr>
    </w:p>
    <w:p w14:paraId="4650C99B">
      <w:pPr>
        <w:pStyle w:val="4"/>
        <w:rPr>
          <w:rFonts w:ascii="仿宋_GB2312" w:eastAsia="仿宋_GB2312"/>
        </w:rPr>
      </w:pPr>
      <w:r>
        <w:rPr>
          <w:rFonts w:hint="eastAsia" w:ascii="仿宋_GB2312" w:eastAsia="仿宋_GB2312"/>
        </w:rPr>
        <w:t>（二）退出</w:t>
      </w:r>
    </w:p>
    <w:p w14:paraId="24531FAB">
      <w:pPr>
        <w:pStyle w:val="5"/>
        <w:ind w:left="440"/>
        <w:rPr>
          <w:rFonts w:ascii="仿宋_GB2312" w:eastAsia="仿宋_GB2312"/>
        </w:rPr>
      </w:pPr>
      <w:r>
        <w:rPr>
          <w:rFonts w:hint="eastAsia" w:ascii="仿宋_GB2312" w:eastAsia="仿宋_GB2312"/>
        </w:rPr>
        <w:t>1. 点击【退出登录】按钮</w:t>
      </w:r>
    </w:p>
    <w:p w14:paraId="23F2AD3A">
      <w:pPr>
        <w:numPr>
          <w:ilvl w:val="0"/>
          <w:numId w:val="4"/>
        </w:numPr>
        <w:ind w:left="776"/>
        <w:rPr>
          <w:rFonts w:ascii="仿宋_GB2312" w:eastAsia="仿宋_GB2312"/>
        </w:rPr>
      </w:pPr>
      <w:r>
        <w:rPr>
          <w:rFonts w:hint="eastAsia" w:ascii="仿宋_GB2312" w:eastAsia="仿宋_GB2312"/>
        </w:rPr>
        <w:t xml:space="preserve"> 登录成功后，在门户页面的右上角有一个【</w:t>
      </w:r>
      <w:r>
        <w:rPr>
          <w:rFonts w:hint="eastAsia" w:ascii="仿宋_GB2312" w:eastAsia="仿宋_GB2312"/>
          <w:b/>
        </w:rPr>
        <w:t>退出登录</w:t>
      </w:r>
      <w:r>
        <w:rPr>
          <w:rFonts w:hint="eastAsia" w:ascii="仿宋_GB2312" w:eastAsia="仿宋_GB2312"/>
        </w:rPr>
        <w:t>】按钮，点击即可退出企业端（同时也会退出渝快办）。</w:t>
      </w:r>
    </w:p>
    <w:p w14:paraId="2FEC5633">
      <w:pPr>
        <w:ind w:left="336"/>
        <w:rPr>
          <w:rFonts w:ascii="仿宋_GB2312" w:eastAsia="仿宋_GB2312"/>
          <w:b/>
        </w:rPr>
      </w:pPr>
      <w:r>
        <w:rPr>
          <w:rFonts w:hint="eastAsia" w:ascii="仿宋_GB2312" w:eastAsia="仿宋_GB2312"/>
        </w:rPr>
        <w:drawing>
          <wp:inline distT="0" distB="0" distL="0" distR="0">
            <wp:extent cx="5064760" cy="282384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0"/>
                    <a:stretch>
                      <a:fillRect/>
                    </a:stretch>
                  </pic:blipFill>
                  <pic:spPr>
                    <a:xfrm>
                      <a:off x="0" y="0"/>
                      <a:ext cx="5064760" cy="2824238"/>
                    </a:xfrm>
                    <a:prstGeom prst="rect">
                      <a:avLst/>
                    </a:prstGeom>
                  </pic:spPr>
                </pic:pic>
              </a:graphicData>
            </a:graphic>
          </wp:inline>
        </w:drawing>
      </w:r>
    </w:p>
    <w:p w14:paraId="18B3AAFC">
      <w:pPr>
        <w:numPr>
          <w:ilvl w:val="1"/>
          <w:numId w:val="4"/>
        </w:numPr>
        <w:rPr>
          <w:rFonts w:ascii="仿宋_GB2312" w:eastAsia="仿宋_GB2312"/>
        </w:rPr>
      </w:pPr>
      <w:r>
        <w:rPr>
          <w:rFonts w:hint="eastAsia" w:ascii="仿宋_GB2312" w:eastAsia="仿宋_GB2312"/>
          <w:b/>
        </w:rPr>
        <w:t>注意</w:t>
      </w:r>
      <w:r>
        <w:rPr>
          <w:rFonts w:hint="eastAsia" w:ascii="仿宋_GB2312" w:eastAsia="仿宋_GB2312"/>
        </w:rPr>
        <w:t>： 在业务办理完毕后，请</w:t>
      </w:r>
      <w:r>
        <w:rPr>
          <w:rFonts w:hint="eastAsia" w:ascii="仿宋_GB2312" w:eastAsia="仿宋_GB2312"/>
          <w:b/>
        </w:rPr>
        <w:t>务必退出登录</w:t>
      </w:r>
      <w:r>
        <w:rPr>
          <w:rFonts w:hint="eastAsia" w:ascii="仿宋_GB2312" w:eastAsia="仿宋_GB2312"/>
        </w:rPr>
        <w:t>，避免他人使用您的账号胡乱操作。</w:t>
      </w:r>
    </w:p>
    <w:p w14:paraId="3FB351D3">
      <w:pPr>
        <w:rPr>
          <w:rFonts w:ascii="仿宋_GB2312" w:eastAsia="仿宋_GB2312"/>
        </w:rPr>
      </w:pPr>
    </w:p>
    <w:p w14:paraId="5D56E20B">
      <w:pPr>
        <w:pStyle w:val="3"/>
        <w:rPr>
          <w:rFonts w:ascii="仿宋_GB2312" w:eastAsia="仿宋_GB2312"/>
        </w:rPr>
      </w:pPr>
      <w:r>
        <w:rPr>
          <w:rFonts w:hint="eastAsia" w:ascii="仿宋_GB2312" w:eastAsia="仿宋_GB2312"/>
        </w:rPr>
        <w:t>四、界面导航</w:t>
      </w:r>
    </w:p>
    <w:p w14:paraId="692AAA64">
      <w:pPr>
        <w:pStyle w:val="4"/>
        <w:rPr>
          <w:rFonts w:ascii="仿宋_GB2312" w:eastAsia="仿宋_GB2312"/>
        </w:rPr>
      </w:pPr>
      <w:r>
        <w:rPr>
          <w:rFonts w:hint="eastAsia" w:ascii="仿宋_GB2312" w:eastAsia="仿宋_GB2312"/>
        </w:rPr>
        <w:t>（一）顶部导航区</w:t>
      </w:r>
    </w:p>
    <w:p w14:paraId="24D7BBD6">
      <w:pPr>
        <w:pStyle w:val="5"/>
        <w:ind w:left="440"/>
        <w:rPr>
          <w:rFonts w:ascii="仿宋_GB2312" w:eastAsia="仿宋_GB2312"/>
        </w:rPr>
      </w:pPr>
      <w:r>
        <w:rPr>
          <w:rFonts w:hint="eastAsia" w:ascii="仿宋_GB2312" w:eastAsia="仿宋_GB2312"/>
        </w:rPr>
        <w:t>1. 未登录状态</w:t>
      </w:r>
    </w:p>
    <w:p w14:paraId="034DBDBD">
      <w:pPr>
        <w:numPr>
          <w:ilvl w:val="0"/>
          <w:numId w:val="5"/>
        </w:numPr>
        <w:ind w:left="776"/>
        <w:rPr>
          <w:rFonts w:ascii="仿宋_GB2312" w:eastAsia="仿宋_GB2312"/>
        </w:rPr>
      </w:pPr>
      <w:r>
        <w:rPr>
          <w:rFonts w:hint="eastAsia" w:ascii="仿宋_GB2312" w:eastAsia="仿宋_GB2312"/>
        </w:rPr>
        <w:t>点击【办事大厅】按钮，将跳转渝快办的首页。</w:t>
      </w:r>
    </w:p>
    <w:p w14:paraId="5874A997">
      <w:pPr>
        <w:numPr>
          <w:ilvl w:val="0"/>
          <w:numId w:val="5"/>
        </w:numPr>
        <w:ind w:left="776"/>
        <w:rPr>
          <w:rFonts w:ascii="仿宋_GB2312" w:eastAsia="仿宋_GB2312"/>
        </w:rPr>
      </w:pPr>
      <w:r>
        <w:rPr>
          <w:rFonts w:hint="eastAsia" w:ascii="仿宋_GB2312" w:eastAsia="仿宋_GB2312"/>
        </w:rPr>
        <w:t>点击【国家政务服务平台丨重庆市人民政府】将跳转至相应网站。</w:t>
      </w:r>
    </w:p>
    <w:p w14:paraId="0E9AECF6">
      <w:pPr>
        <w:numPr>
          <w:ilvl w:val="0"/>
          <w:numId w:val="5"/>
        </w:numPr>
        <w:ind w:left="776"/>
        <w:rPr>
          <w:rFonts w:ascii="仿宋_GB2312" w:eastAsia="仿宋_GB2312"/>
        </w:rPr>
      </w:pPr>
      <w:r>
        <w:rPr>
          <w:rFonts w:hint="eastAsia" w:ascii="仿宋_GB2312" w:eastAsia="仿宋_GB2312"/>
        </w:rPr>
        <w:t>在搜索框中输入关键字后点击搜索图标，将为企业搜索重庆市药监局网站中的内容。</w:t>
      </w:r>
    </w:p>
    <w:p w14:paraId="68816172">
      <w:pPr>
        <w:numPr>
          <w:ilvl w:val="0"/>
          <w:numId w:val="5"/>
        </w:numPr>
        <w:ind w:left="776"/>
        <w:rPr>
          <w:rFonts w:ascii="仿宋_GB2312" w:eastAsia="仿宋_GB2312"/>
        </w:rPr>
      </w:pPr>
      <w:r>
        <w:rPr>
          <w:rFonts w:hint="eastAsia" w:ascii="仿宋_GB2312" w:eastAsia="仿宋_GB2312"/>
        </w:rPr>
        <w:t>点击【统一登录】按钮，将跳转渝快办统一登录页面。</w:t>
      </w:r>
    </w:p>
    <w:p w14:paraId="46844893">
      <w:pPr>
        <w:rPr>
          <w:rFonts w:ascii="仿宋_GB2312" w:eastAsia="仿宋_GB2312"/>
        </w:rPr>
      </w:pPr>
      <w:r>
        <w:rPr>
          <w:rFonts w:hint="eastAsia" w:ascii="仿宋_GB2312" w:eastAsia="仿宋_GB2312"/>
        </w:rPr>
        <w:drawing>
          <wp:inline distT="0" distB="0" distL="0" distR="0">
            <wp:extent cx="5278120" cy="666115"/>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278120" cy="666678"/>
                    </a:xfrm>
                    <a:prstGeom prst="rect">
                      <a:avLst/>
                    </a:prstGeom>
                  </pic:spPr>
                </pic:pic>
              </a:graphicData>
            </a:graphic>
          </wp:inline>
        </w:drawing>
      </w:r>
    </w:p>
    <w:p w14:paraId="5BE11A66">
      <w:pPr>
        <w:pStyle w:val="5"/>
        <w:ind w:left="440"/>
        <w:rPr>
          <w:rFonts w:ascii="仿宋_GB2312" w:eastAsia="仿宋_GB2312"/>
        </w:rPr>
      </w:pPr>
      <w:r>
        <w:rPr>
          <w:rFonts w:hint="eastAsia" w:ascii="仿宋_GB2312" w:eastAsia="仿宋_GB2312"/>
        </w:rPr>
        <w:t>2. 已登录状态</w:t>
      </w:r>
    </w:p>
    <w:p w14:paraId="65BEA394">
      <w:pPr>
        <w:numPr>
          <w:ilvl w:val="0"/>
          <w:numId w:val="6"/>
        </w:numPr>
        <w:ind w:left="776"/>
        <w:rPr>
          <w:rFonts w:ascii="仿宋_GB2312" w:eastAsia="仿宋_GB2312"/>
        </w:rPr>
      </w:pPr>
      <w:r>
        <w:rPr>
          <w:rFonts w:hint="eastAsia" w:ascii="仿宋_GB2312" w:eastAsia="仿宋_GB2312"/>
        </w:rPr>
        <w:t>点击【企业名称】，将进入【我的档案】，可以查看企业基本信息、档案信息。</w:t>
      </w:r>
    </w:p>
    <w:p w14:paraId="5D964D84">
      <w:pPr>
        <w:numPr>
          <w:ilvl w:val="0"/>
          <w:numId w:val="6"/>
        </w:numPr>
        <w:ind w:left="776"/>
        <w:rPr>
          <w:rFonts w:ascii="仿宋_GB2312" w:eastAsia="仿宋_GB2312"/>
        </w:rPr>
      </w:pPr>
      <w:r>
        <w:rPr>
          <w:rFonts w:hint="eastAsia" w:ascii="仿宋_GB2312" w:eastAsia="仿宋_GB2312"/>
        </w:rPr>
        <w:t>点击【设置】按钮，可以在弹层中设置短信接收人和电子签章。</w:t>
      </w:r>
    </w:p>
    <w:p w14:paraId="6A28983E">
      <w:pPr>
        <w:numPr>
          <w:ilvl w:val="0"/>
          <w:numId w:val="6"/>
        </w:numPr>
        <w:ind w:left="776"/>
        <w:rPr>
          <w:rFonts w:ascii="仿宋_GB2312" w:eastAsia="仿宋_GB2312"/>
        </w:rPr>
      </w:pPr>
      <w:r>
        <w:rPr>
          <w:rFonts w:hint="eastAsia" w:ascii="仿宋_GB2312" w:eastAsia="仿宋_GB2312"/>
        </w:rPr>
        <w:t>点击【退出登录】按钮，登录状态将变为退出（即未登录）。</w:t>
      </w:r>
    </w:p>
    <w:p w14:paraId="326573D1">
      <w:pPr>
        <w:rPr>
          <w:rFonts w:ascii="仿宋_GB2312" w:eastAsia="仿宋_GB2312"/>
        </w:rPr>
      </w:pPr>
      <w:r>
        <w:rPr>
          <w:rFonts w:hint="eastAsia" w:ascii="仿宋_GB2312" w:eastAsia="仿宋_GB2312"/>
        </w:rPr>
        <w:drawing>
          <wp:inline distT="0" distB="0" distL="0" distR="0">
            <wp:extent cx="5278120" cy="669290"/>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278120" cy="669750"/>
                    </a:xfrm>
                    <a:prstGeom prst="rect">
                      <a:avLst/>
                    </a:prstGeom>
                  </pic:spPr>
                </pic:pic>
              </a:graphicData>
            </a:graphic>
          </wp:inline>
        </w:drawing>
      </w:r>
    </w:p>
    <w:p w14:paraId="7918E4FA">
      <w:pPr>
        <w:numPr>
          <w:ilvl w:val="0"/>
          <w:numId w:val="6"/>
        </w:numPr>
        <w:rPr>
          <w:rFonts w:ascii="仿宋_GB2312" w:eastAsia="仿宋_GB2312"/>
        </w:rPr>
      </w:pPr>
      <w:r>
        <w:rPr>
          <w:rFonts w:hint="eastAsia" w:ascii="仿宋_GB2312" w:eastAsia="仿宋_GB2312"/>
        </w:rPr>
        <w:t>除了首页，其他页面的顶部将显示当前路径，点击【首页】可以切换至首页。</w:t>
      </w:r>
      <w:r>
        <w:rPr>
          <w:rFonts w:hint="eastAsia" w:ascii="仿宋_GB2312" w:eastAsia="仿宋_GB2312"/>
        </w:rPr>
        <w:drawing>
          <wp:inline distT="0" distB="0" distL="0" distR="0">
            <wp:extent cx="5278120" cy="666115"/>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278120" cy="666678"/>
                    </a:xfrm>
                    <a:prstGeom prst="rect">
                      <a:avLst/>
                    </a:prstGeom>
                  </pic:spPr>
                </pic:pic>
              </a:graphicData>
            </a:graphic>
          </wp:inline>
        </w:drawing>
      </w:r>
    </w:p>
    <w:p w14:paraId="4B1532AC">
      <w:pPr>
        <w:ind w:left="336"/>
        <w:rPr>
          <w:rFonts w:ascii="仿宋_GB2312" w:eastAsia="仿宋_GB2312"/>
        </w:rPr>
      </w:pPr>
    </w:p>
    <w:p w14:paraId="0745C109">
      <w:pPr>
        <w:pStyle w:val="4"/>
        <w:rPr>
          <w:rFonts w:ascii="仿宋_GB2312" w:eastAsia="仿宋_GB2312"/>
        </w:rPr>
      </w:pPr>
      <w:r>
        <w:rPr>
          <w:rFonts w:hint="eastAsia" w:ascii="仿宋_GB2312" w:eastAsia="仿宋_GB2312"/>
        </w:rPr>
        <w:t>（二）页面主体区域</w:t>
      </w:r>
    </w:p>
    <w:p w14:paraId="1A0B33DD">
      <w:pPr>
        <w:pStyle w:val="5"/>
        <w:numPr>
          <w:ilvl w:val="0"/>
          <w:numId w:val="7"/>
        </w:numPr>
        <w:ind w:left="776"/>
        <w:rPr>
          <w:rFonts w:ascii="仿宋_GB2312" w:eastAsia="仿宋_GB2312"/>
        </w:rPr>
      </w:pPr>
      <w:r>
        <w:rPr>
          <w:rFonts w:hint="eastAsia" w:ascii="仿宋_GB2312" w:eastAsia="仿宋_GB2312"/>
        </w:rPr>
        <w:t>首页</w:t>
      </w:r>
    </w:p>
    <w:p w14:paraId="3AD1649A">
      <w:pPr>
        <w:rPr>
          <w:rFonts w:ascii="仿宋_GB2312" w:eastAsia="仿宋_GB2312"/>
        </w:rPr>
      </w:pPr>
      <w:r>
        <w:rPr>
          <w:rFonts w:hint="eastAsia" w:ascii="仿宋_GB2312" w:eastAsia="仿宋_GB2312"/>
        </w:rPr>
        <w:t xml:space="preserve">    企业端首页展示企业的最新通知公告、消息以及业务办理的快捷入口。在其他页面点击【首页】按钮，将返回企业端的首页。</w:t>
      </w:r>
    </w:p>
    <w:p w14:paraId="0E0D2E15">
      <w:pPr>
        <w:rPr>
          <w:rFonts w:hint="eastAsia" w:ascii="仿宋_GB2312" w:eastAsia="仿宋_GB2312"/>
          <w:lang w:eastAsia="zh-CN"/>
        </w:rPr>
      </w:pPr>
      <w:bookmarkStart w:id="0" w:name="_GoBack"/>
      <w:r>
        <w:rPr>
          <w:rFonts w:hint="eastAsia" w:ascii="仿宋_GB2312" w:eastAsia="仿宋_GB2312"/>
          <w:lang w:eastAsia="zh-CN"/>
        </w:rPr>
        <w:drawing>
          <wp:inline distT="0" distB="0" distL="114300" distR="114300">
            <wp:extent cx="5282565" cy="4012565"/>
            <wp:effectExtent l="0" t="0" r="0" b="0"/>
            <wp:docPr id="4" name="图片 4" descr="01d0a557fbf6fdf45e11880f2502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d0a557fbf6fdf45e11880f2502c280"/>
                    <pic:cNvPicPr>
                      <a:picLocks noChangeAspect="1"/>
                    </pic:cNvPicPr>
                  </pic:nvPicPr>
                  <pic:blipFill>
                    <a:blip r:embed="rId14"/>
                    <a:srcRect t="24251" r="-181"/>
                    <a:stretch>
                      <a:fillRect/>
                    </a:stretch>
                  </pic:blipFill>
                  <pic:spPr>
                    <a:xfrm>
                      <a:off x="0" y="0"/>
                      <a:ext cx="5282565" cy="4012565"/>
                    </a:xfrm>
                    <a:prstGeom prst="rect">
                      <a:avLst/>
                    </a:prstGeom>
                  </pic:spPr>
                </pic:pic>
              </a:graphicData>
            </a:graphic>
          </wp:inline>
        </w:drawing>
      </w:r>
      <w:bookmarkEnd w:id="0"/>
    </w:p>
    <w:p w14:paraId="2AAD8FB5">
      <w:pPr>
        <w:numPr>
          <w:ilvl w:val="0"/>
          <w:numId w:val="8"/>
        </w:numPr>
        <w:rPr>
          <w:rFonts w:ascii="仿宋_GB2312" w:eastAsia="仿宋_GB2312"/>
        </w:rPr>
      </w:pPr>
      <w:r>
        <w:rPr>
          <w:rFonts w:hint="eastAsia" w:ascii="仿宋_GB2312" w:eastAsia="仿宋_GB2312"/>
          <w:b/>
        </w:rPr>
        <w:t>通知公告：</w:t>
      </w:r>
      <w:r>
        <w:rPr>
          <w:rFonts w:hint="eastAsia" w:ascii="仿宋_GB2312" w:eastAsia="仿宋_GB2312"/>
        </w:rPr>
        <w:t xml:space="preserve"> 展示局端面向企业发布的通知公告，点击【更多】按钮，可以查看全部列表，通知公告分为药品、医疗器械、化妆品等类型。</w:t>
      </w:r>
    </w:p>
    <w:p w14:paraId="5F6ECF72">
      <w:pPr>
        <w:numPr>
          <w:ilvl w:val="0"/>
          <w:numId w:val="8"/>
        </w:numPr>
        <w:rPr>
          <w:rFonts w:ascii="仿宋_GB2312" w:eastAsia="仿宋_GB2312"/>
        </w:rPr>
      </w:pPr>
      <w:r>
        <w:rPr>
          <w:rFonts w:hint="eastAsia" w:ascii="仿宋_GB2312" w:eastAsia="仿宋_GB2312"/>
          <w:b/>
        </w:rPr>
        <w:t xml:space="preserve">消息中心： </w:t>
      </w:r>
      <w:r>
        <w:rPr>
          <w:rFonts w:hint="eastAsia" w:ascii="仿宋_GB2312" w:eastAsia="仿宋_GB2312"/>
        </w:rPr>
        <w:t>统一展示企业来自药监各业务子系统发送的消息，点击消息可以在弹层中查看【消息详情】，设置已读。</w:t>
      </w:r>
    </w:p>
    <w:p w14:paraId="39192733">
      <w:pPr>
        <w:ind w:firstLine="440" w:firstLineChars="200"/>
        <w:rPr>
          <w:rFonts w:ascii="仿宋_GB2312" w:eastAsia="仿宋_GB2312"/>
        </w:rPr>
      </w:pPr>
      <w:r>
        <w:rPr>
          <w:rFonts w:hint="eastAsia" w:ascii="仿宋_GB2312" w:eastAsia="仿宋_GB2312"/>
        </w:rPr>
        <w:drawing>
          <wp:inline distT="0" distB="0" distL="0" distR="0">
            <wp:extent cx="5163820" cy="275844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5"/>
                    <a:stretch>
                      <a:fillRect/>
                    </a:stretch>
                  </pic:blipFill>
                  <pic:spPr>
                    <a:xfrm>
                      <a:off x="0" y="0"/>
                      <a:ext cx="5163820" cy="2758878"/>
                    </a:xfrm>
                    <a:prstGeom prst="rect">
                      <a:avLst/>
                    </a:prstGeom>
                  </pic:spPr>
                </pic:pic>
              </a:graphicData>
            </a:graphic>
          </wp:inline>
        </w:drawing>
      </w:r>
    </w:p>
    <w:p w14:paraId="1501A0C1">
      <w:pPr>
        <w:numPr>
          <w:ilvl w:val="0"/>
          <w:numId w:val="8"/>
        </w:numPr>
        <w:rPr>
          <w:rFonts w:ascii="仿宋_GB2312" w:eastAsia="仿宋_GB2312"/>
        </w:rPr>
      </w:pPr>
      <w:r>
        <w:rPr>
          <w:rFonts w:hint="eastAsia" w:ascii="仿宋_GB2312" w:eastAsia="仿宋_GB2312"/>
          <w:b/>
        </w:rPr>
        <w:t>业务中心：</w:t>
      </w:r>
      <w:r>
        <w:rPr>
          <w:rFonts w:hint="eastAsia" w:ascii="仿宋_GB2312" w:eastAsia="仿宋_GB2312"/>
        </w:rPr>
        <w:t xml:space="preserve"> 统一展示企业业务办理入口，点击需要办理的业务，即可进入业务办理界面。</w:t>
      </w:r>
    </w:p>
    <w:p w14:paraId="7A80BBB1">
      <w:pPr>
        <w:pStyle w:val="5"/>
        <w:numPr>
          <w:ilvl w:val="0"/>
          <w:numId w:val="7"/>
        </w:numPr>
        <w:ind w:left="776"/>
        <w:rPr>
          <w:rFonts w:ascii="仿宋_GB2312" w:eastAsia="仿宋_GB2312"/>
        </w:rPr>
      </w:pPr>
      <w:r>
        <w:rPr>
          <w:rFonts w:hint="eastAsia" w:ascii="仿宋_GB2312" w:eastAsia="仿宋_GB2312"/>
        </w:rPr>
        <w:t>业务办理</w:t>
      </w:r>
    </w:p>
    <w:p w14:paraId="37AD5C41">
      <w:pPr>
        <w:numPr>
          <w:ilvl w:val="0"/>
          <w:numId w:val="9"/>
        </w:numPr>
        <w:ind w:left="776"/>
        <w:rPr>
          <w:rFonts w:ascii="仿宋_GB2312" w:eastAsia="仿宋_GB2312"/>
        </w:rPr>
      </w:pPr>
      <w:r>
        <w:rPr>
          <w:rFonts w:hint="eastAsia" w:ascii="仿宋_GB2312" w:eastAsia="仿宋_GB2312"/>
        </w:rPr>
        <w:t>从业务中心进入后，会自动跳转至业务办理列表或填报页面，点击【</w:t>
      </w:r>
      <w:r>
        <w:rPr>
          <w:rFonts w:hint="eastAsia" w:ascii="仿宋_GB2312" w:eastAsia="仿宋_GB2312"/>
          <w:b/>
        </w:rPr>
        <w:t>新增</w:t>
      </w:r>
      <w:r>
        <w:rPr>
          <w:rFonts w:hint="eastAsia" w:ascii="仿宋_GB2312" w:eastAsia="仿宋_GB2312"/>
        </w:rPr>
        <w:t>】按钮（如有）可以打开填报层；点击操作列中的按钮，可以执行相关操作（修改、删除、撤回等）。</w:t>
      </w:r>
    </w:p>
    <w:p w14:paraId="10B8F345">
      <w:pPr>
        <w:ind w:left="336"/>
        <w:rPr>
          <w:rFonts w:ascii="仿宋_GB2312" w:eastAsia="仿宋_GB2312"/>
        </w:rPr>
      </w:pPr>
      <w:r>
        <w:rPr>
          <w:rFonts w:hint="eastAsia" w:ascii="仿宋_GB2312" w:eastAsia="仿宋_GB2312"/>
        </w:rPr>
        <w:drawing>
          <wp:inline distT="0" distB="0" distL="0" distR="0">
            <wp:extent cx="5278120" cy="213868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16"/>
                    <a:srcRect/>
                    <a:stretch>
                      <a:fillRect/>
                    </a:stretch>
                  </pic:blipFill>
                  <pic:spPr>
                    <a:xfrm>
                      <a:off x="0" y="0"/>
                      <a:ext cx="5278120" cy="2139284"/>
                    </a:xfrm>
                    <a:prstGeom prst="rect">
                      <a:avLst/>
                    </a:prstGeom>
                  </pic:spPr>
                </pic:pic>
              </a:graphicData>
            </a:graphic>
          </wp:inline>
        </w:drawing>
      </w:r>
    </w:p>
    <w:p w14:paraId="5AC78E91">
      <w:pPr>
        <w:numPr>
          <w:ilvl w:val="1"/>
          <w:numId w:val="9"/>
        </w:numPr>
        <w:rPr>
          <w:rFonts w:ascii="仿宋_GB2312" w:eastAsia="仿宋_GB2312"/>
          <w:b/>
        </w:rPr>
      </w:pPr>
      <w:r>
        <w:rPr>
          <w:rFonts w:hint="eastAsia" w:ascii="仿宋_GB2312" w:eastAsia="仿宋_GB2312"/>
          <w:b/>
        </w:rPr>
        <w:t>注意：</w:t>
      </w:r>
      <w:r>
        <w:rPr>
          <w:rFonts w:hint="eastAsia" w:ascii="仿宋_GB2312" w:eastAsia="仿宋_GB2312"/>
          <w:bCs/>
        </w:rPr>
        <w:t>如果需要放大操作区域，可以点击【放大】按钮。</w:t>
      </w:r>
    </w:p>
    <w:p w14:paraId="34B54112">
      <w:pPr>
        <w:numPr>
          <w:ilvl w:val="1"/>
          <w:numId w:val="9"/>
        </w:numPr>
        <w:rPr>
          <w:rFonts w:ascii="仿宋_GB2312" w:eastAsia="仿宋_GB2312"/>
        </w:rPr>
      </w:pPr>
      <w:r>
        <w:rPr>
          <w:rFonts w:hint="eastAsia" w:ascii="仿宋_GB2312" w:eastAsia="仿宋_GB2312"/>
          <w:b/>
        </w:rPr>
        <w:t>注意：</w:t>
      </w:r>
      <w:r>
        <w:rPr>
          <w:rFonts w:hint="eastAsia" w:ascii="仿宋_GB2312" w:eastAsia="仿宋_GB2312"/>
        </w:rPr>
        <w:t xml:space="preserve"> 在业务办理完毕后，请</w:t>
      </w:r>
      <w:r>
        <w:rPr>
          <w:rFonts w:hint="eastAsia" w:ascii="仿宋_GB2312" w:eastAsia="仿宋_GB2312"/>
          <w:b/>
        </w:rPr>
        <w:t>务必退出登录</w:t>
      </w:r>
      <w:r>
        <w:rPr>
          <w:rFonts w:hint="eastAsia" w:ascii="仿宋_GB2312" w:eastAsia="仿宋_GB2312"/>
        </w:rPr>
        <w:t>，避免他人使用您的账号胡乱操作。</w:t>
      </w:r>
    </w:p>
    <w:p w14:paraId="1C403E2D">
      <w:pPr>
        <w:numPr>
          <w:ilvl w:val="1"/>
          <w:numId w:val="9"/>
        </w:numPr>
        <w:rPr>
          <w:rFonts w:ascii="仿宋_GB2312" w:eastAsia="仿宋_GB2312"/>
        </w:rPr>
      </w:pPr>
      <w:r>
        <w:rPr>
          <w:rFonts w:hint="eastAsia" w:ascii="仿宋_GB2312" w:eastAsia="仿宋_GB2312"/>
          <w:b/>
        </w:rPr>
        <w:t>注意：</w:t>
      </w:r>
      <w:r>
        <w:rPr>
          <w:rFonts w:hint="eastAsia" w:ascii="仿宋_GB2312" w:eastAsia="仿宋_GB2312"/>
          <w:bCs/>
        </w:rPr>
        <w:t>请详细阅读《表单填写操作指南》（见本文第五部分）。</w:t>
      </w:r>
    </w:p>
    <w:p w14:paraId="288E14B3">
      <w:pPr>
        <w:ind w:left="336"/>
        <w:rPr>
          <w:rFonts w:ascii="仿宋_GB2312" w:eastAsia="仿宋_GB2312"/>
        </w:rPr>
      </w:pPr>
    </w:p>
    <w:p w14:paraId="6DBCE39A">
      <w:pPr>
        <w:pStyle w:val="3"/>
        <w:rPr>
          <w:rFonts w:ascii="仿宋_GB2312" w:eastAsia="仿宋_GB2312"/>
        </w:rPr>
      </w:pPr>
      <w:r>
        <w:rPr>
          <w:rFonts w:hint="eastAsia" w:ascii="仿宋_GB2312" w:eastAsia="仿宋_GB2312"/>
        </w:rPr>
        <w:t>五、表单填写操作指南</w:t>
      </w:r>
    </w:p>
    <w:p w14:paraId="02747D37">
      <w:pPr>
        <w:pStyle w:val="4"/>
        <w:rPr>
          <w:rFonts w:ascii="仿宋_GB2312" w:eastAsia="仿宋_GB2312"/>
        </w:rPr>
      </w:pPr>
      <w:r>
        <w:rPr>
          <w:rFonts w:hint="eastAsia" w:ascii="仿宋_GB2312" w:eastAsia="仿宋_GB2312"/>
        </w:rPr>
        <w:t>（一）填写规范说明</w:t>
      </w:r>
    </w:p>
    <w:p w14:paraId="49F45A9B">
      <w:pPr>
        <w:numPr>
          <w:ilvl w:val="0"/>
          <w:numId w:val="10"/>
        </w:numPr>
        <w:ind w:left="440"/>
        <w:rPr>
          <w:rFonts w:ascii="仿宋_GB2312" w:eastAsia="仿宋_GB2312"/>
          <w:b/>
        </w:rPr>
      </w:pPr>
      <w:r>
        <w:rPr>
          <w:rFonts w:hint="eastAsia" w:ascii="仿宋_GB2312" w:eastAsia="仿宋_GB2312"/>
          <w:b/>
        </w:rPr>
        <w:t>必填项标识</w:t>
      </w:r>
    </w:p>
    <w:p w14:paraId="3E44CBEB">
      <w:pPr>
        <w:numPr>
          <w:ilvl w:val="0"/>
          <w:numId w:val="11"/>
        </w:numPr>
        <w:ind w:left="440"/>
        <w:rPr>
          <w:rFonts w:ascii="仿宋_GB2312" w:eastAsia="仿宋_GB2312"/>
        </w:rPr>
      </w:pPr>
      <w:r>
        <w:rPr>
          <w:rFonts w:hint="eastAsia" w:ascii="仿宋_GB2312" w:eastAsia="仿宋_GB2312"/>
        </w:rPr>
        <w:t>表单中标记红色星号（*）的字段为必填项</w:t>
      </w:r>
    </w:p>
    <w:p w14:paraId="704FDE85">
      <w:pPr>
        <w:numPr>
          <w:ilvl w:val="0"/>
          <w:numId w:val="11"/>
        </w:numPr>
        <w:ind w:left="440"/>
        <w:rPr>
          <w:rFonts w:ascii="仿宋_GB2312" w:eastAsia="仿宋_GB2312"/>
        </w:rPr>
      </w:pPr>
      <w:r>
        <w:rPr>
          <w:rFonts w:hint="eastAsia" w:ascii="仿宋_GB2312" w:eastAsia="仿宋_GB2312"/>
        </w:rPr>
        <w:t>未填写必填项时，系统将阻止提交并提示"xxx不能为空"或"请输入xxx"</w:t>
      </w:r>
    </w:p>
    <w:p w14:paraId="43188097">
      <w:pPr>
        <w:numPr>
          <w:ilvl w:val="0"/>
          <w:numId w:val="11"/>
        </w:numPr>
        <w:ind w:left="440"/>
        <w:rPr>
          <w:rFonts w:ascii="仿宋_GB2312" w:eastAsia="仿宋_GB2312"/>
        </w:rPr>
      </w:pPr>
      <w:r>
        <w:rPr>
          <w:rFonts w:hint="eastAsia" w:ascii="仿宋_GB2312" w:eastAsia="仿宋_GB2312"/>
        </w:rPr>
        <w:t>必填项提示会高亮显示，请根据提示补充完整</w:t>
      </w:r>
    </w:p>
    <w:p w14:paraId="1E09E677">
      <w:pPr>
        <w:rPr>
          <w:rFonts w:ascii="仿宋_GB2312" w:eastAsia="仿宋_GB2312"/>
        </w:rPr>
      </w:pPr>
      <w:r>
        <w:rPr>
          <w:rFonts w:hint="eastAsia" w:ascii="仿宋_GB2312" w:eastAsia="仿宋_GB2312"/>
        </w:rPr>
        <w:drawing>
          <wp:inline distT="0" distB="0" distL="0" distR="0">
            <wp:extent cx="5278120" cy="1064895"/>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17"/>
                    <a:stretch>
                      <a:fillRect/>
                    </a:stretch>
                  </pic:blipFill>
                  <pic:spPr>
                    <a:xfrm>
                      <a:off x="0" y="0"/>
                      <a:ext cx="5278120" cy="1064987"/>
                    </a:xfrm>
                    <a:prstGeom prst="rect">
                      <a:avLst/>
                    </a:prstGeom>
                  </pic:spPr>
                </pic:pic>
              </a:graphicData>
            </a:graphic>
          </wp:inline>
        </w:drawing>
      </w:r>
    </w:p>
    <w:p w14:paraId="7CDB3340">
      <w:pPr>
        <w:numPr>
          <w:ilvl w:val="0"/>
          <w:numId w:val="10"/>
        </w:numPr>
        <w:ind w:left="440"/>
        <w:rPr>
          <w:rFonts w:ascii="仿宋_GB2312" w:eastAsia="仿宋_GB2312"/>
          <w:b/>
        </w:rPr>
      </w:pPr>
      <w:r>
        <w:rPr>
          <w:rFonts w:hint="eastAsia" w:ascii="仿宋_GB2312" w:eastAsia="仿宋_GB2312"/>
          <w:b/>
        </w:rPr>
        <w:t>格式校验规则</w:t>
      </w:r>
    </w:p>
    <w:p w14:paraId="004A1E28">
      <w:pPr>
        <w:numPr>
          <w:ilvl w:val="0"/>
          <w:numId w:val="11"/>
        </w:numPr>
        <w:ind w:left="440"/>
        <w:rPr>
          <w:rFonts w:ascii="仿宋_GB2312" w:eastAsia="仿宋_GB2312"/>
        </w:rPr>
      </w:pPr>
      <w:r>
        <w:rPr>
          <w:rFonts w:hint="eastAsia" w:ascii="仿宋_GB2312" w:eastAsia="仿宋_GB2312"/>
        </w:rPr>
        <w:t>手机号码：需输入11位有效数字（如13800000000）</w:t>
      </w:r>
    </w:p>
    <w:p w14:paraId="36739A68">
      <w:pPr>
        <w:numPr>
          <w:ilvl w:val="0"/>
          <w:numId w:val="11"/>
        </w:numPr>
        <w:ind w:left="440"/>
        <w:rPr>
          <w:rFonts w:ascii="仿宋_GB2312" w:eastAsia="仿宋_GB2312"/>
        </w:rPr>
      </w:pPr>
      <w:r>
        <w:rPr>
          <w:rFonts w:hint="eastAsia" w:ascii="仿宋_GB2312" w:eastAsia="仿宋_GB2312"/>
        </w:rPr>
        <w:t>电子邮箱：需符合标准格式（如abc@example.com）</w:t>
      </w:r>
    </w:p>
    <w:p w14:paraId="0BF75244">
      <w:pPr>
        <w:numPr>
          <w:ilvl w:val="0"/>
          <w:numId w:val="11"/>
        </w:numPr>
        <w:ind w:left="440"/>
        <w:rPr>
          <w:rFonts w:ascii="仿宋_GB2312" w:eastAsia="仿宋_GB2312"/>
        </w:rPr>
      </w:pPr>
      <w:r>
        <w:rPr>
          <w:rFonts w:hint="eastAsia" w:ascii="仿宋_GB2312" w:eastAsia="仿宋_GB2312"/>
        </w:rPr>
        <w:t>日期字段：需按YYYY-MM-DD格式选择或输入</w:t>
      </w:r>
    </w:p>
    <w:p w14:paraId="2A1BAB55">
      <w:pPr>
        <w:numPr>
          <w:ilvl w:val="0"/>
          <w:numId w:val="11"/>
        </w:numPr>
        <w:ind w:left="440"/>
        <w:rPr>
          <w:rFonts w:ascii="仿宋_GB2312" w:eastAsia="仿宋_GB2312"/>
        </w:rPr>
      </w:pPr>
      <w:r>
        <w:rPr>
          <w:rFonts w:hint="eastAsia" w:ascii="仿宋_GB2312" w:eastAsia="仿宋_GB2312"/>
        </w:rPr>
        <w:t>数字字段：仅能输入有效数字（如数量、金额等）</w:t>
      </w:r>
    </w:p>
    <w:p w14:paraId="0288B14D">
      <w:pPr>
        <w:numPr>
          <w:ilvl w:val="0"/>
          <w:numId w:val="11"/>
        </w:numPr>
        <w:ind w:left="440"/>
        <w:rPr>
          <w:rFonts w:ascii="仿宋_GB2312" w:eastAsia="仿宋_GB2312"/>
          <w:b/>
        </w:rPr>
      </w:pPr>
      <w:r>
        <w:rPr>
          <w:rFonts w:hint="eastAsia" w:ascii="仿宋_GB2312" w:eastAsia="仿宋_GB2312"/>
        </w:rPr>
        <w:t>附件上传：支持PDF/JPG/PNG格式，单个文件≤10MB</w:t>
      </w:r>
    </w:p>
    <w:p w14:paraId="51068D25">
      <w:pPr>
        <w:rPr>
          <w:rFonts w:ascii="仿宋_GB2312" w:eastAsia="仿宋_GB2312"/>
        </w:rPr>
      </w:pPr>
      <w:r>
        <w:rPr>
          <w:rFonts w:hint="eastAsia" w:ascii="仿宋_GB2312" w:eastAsia="仿宋_GB2312"/>
        </w:rPr>
        <w:drawing>
          <wp:inline distT="0" distB="0" distL="0" distR="0">
            <wp:extent cx="2609850" cy="483870"/>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18"/>
                    <a:stretch>
                      <a:fillRect/>
                    </a:stretch>
                  </pic:blipFill>
                  <pic:spPr>
                    <a:xfrm>
                      <a:off x="0" y="0"/>
                      <a:ext cx="2609850" cy="484237"/>
                    </a:xfrm>
                    <a:prstGeom prst="rect">
                      <a:avLst/>
                    </a:prstGeom>
                  </pic:spPr>
                </pic:pic>
              </a:graphicData>
            </a:graphic>
          </wp:inline>
        </w:drawing>
      </w:r>
    </w:p>
    <w:p w14:paraId="0361AACD">
      <w:pPr>
        <w:pStyle w:val="4"/>
        <w:rPr>
          <w:rFonts w:ascii="仿宋_GB2312" w:eastAsia="仿宋_GB2312"/>
        </w:rPr>
      </w:pPr>
      <w:r>
        <w:rPr>
          <w:rFonts w:hint="eastAsia" w:ascii="仿宋_GB2312" w:eastAsia="仿宋_GB2312"/>
        </w:rPr>
        <w:t>（二）填写操作建议</w:t>
      </w:r>
    </w:p>
    <w:p w14:paraId="54E2233C">
      <w:pPr>
        <w:numPr>
          <w:ilvl w:val="0"/>
          <w:numId w:val="12"/>
        </w:numPr>
        <w:ind w:left="776"/>
        <w:rPr>
          <w:rFonts w:ascii="仿宋_GB2312" w:eastAsia="仿宋_GB2312"/>
        </w:rPr>
      </w:pPr>
      <w:r>
        <w:rPr>
          <w:rFonts w:hint="eastAsia" w:ascii="仿宋_GB2312" w:eastAsia="仿宋_GB2312"/>
          <w:b/>
        </w:rPr>
        <w:t>填写前准备：</w:t>
      </w:r>
    </w:p>
    <w:p w14:paraId="026E8772">
      <w:pPr>
        <w:numPr>
          <w:ilvl w:val="0"/>
          <w:numId w:val="13"/>
        </w:numPr>
        <w:ind w:left="776"/>
        <w:rPr>
          <w:rFonts w:ascii="仿宋_GB2312" w:eastAsia="仿宋_GB2312"/>
        </w:rPr>
      </w:pPr>
      <w:r>
        <w:rPr>
          <w:rFonts w:hint="eastAsia" w:ascii="仿宋_GB2312" w:eastAsia="仿宋_GB2312"/>
        </w:rPr>
        <w:t>提前收集表单所需信息、材料，避免中途中断</w:t>
      </w:r>
    </w:p>
    <w:p w14:paraId="654EE14D">
      <w:pPr>
        <w:numPr>
          <w:ilvl w:val="0"/>
          <w:numId w:val="13"/>
        </w:numPr>
        <w:ind w:left="776"/>
        <w:rPr>
          <w:rFonts w:ascii="仿宋_GB2312" w:eastAsia="仿宋_GB2312"/>
        </w:rPr>
      </w:pPr>
      <w:r>
        <w:rPr>
          <w:rFonts w:hint="eastAsia" w:ascii="仿宋_GB2312" w:eastAsia="仿宋_GB2312"/>
        </w:rPr>
        <w:t>建议使用谷歌、QQ、360、Edge等浏览器最新版本</w:t>
      </w:r>
    </w:p>
    <w:p w14:paraId="1E262C5B">
      <w:pPr>
        <w:numPr>
          <w:ilvl w:val="0"/>
          <w:numId w:val="12"/>
        </w:numPr>
        <w:ind w:left="776"/>
        <w:rPr>
          <w:rFonts w:ascii="仿宋_GB2312" w:eastAsia="仿宋_GB2312"/>
        </w:rPr>
      </w:pPr>
      <w:r>
        <w:rPr>
          <w:rFonts w:hint="eastAsia" w:ascii="仿宋_GB2312" w:eastAsia="仿宋_GB2312"/>
          <w:b/>
        </w:rPr>
        <w:t>及时保存：</w:t>
      </w:r>
    </w:p>
    <w:p w14:paraId="39806052">
      <w:pPr>
        <w:numPr>
          <w:ilvl w:val="0"/>
          <w:numId w:val="11"/>
        </w:numPr>
        <w:ind w:left="440"/>
        <w:rPr>
          <w:rFonts w:ascii="仿宋_GB2312" w:eastAsia="仿宋_GB2312"/>
        </w:rPr>
      </w:pPr>
      <w:r>
        <w:rPr>
          <w:rFonts w:hint="eastAsia" w:ascii="仿宋_GB2312" w:eastAsia="仿宋_GB2312"/>
        </w:rPr>
        <w:t>若表单内容多，填写时间较长，建议填写一部分后及时点【保存】按钮以暂存数据，待保存成功后点【修改】按钮继续填写</w:t>
      </w:r>
    </w:p>
    <w:p w14:paraId="0CFC0BA6">
      <w:pPr>
        <w:rPr>
          <w:rFonts w:ascii="仿宋_GB2312" w:eastAsia="仿宋_GB2312"/>
        </w:rPr>
      </w:pPr>
      <w:r>
        <w:rPr>
          <w:rFonts w:hint="eastAsia" w:ascii="仿宋_GB2312" w:eastAsia="仿宋_GB2312"/>
        </w:rPr>
        <w:drawing>
          <wp:inline distT="0" distB="0" distL="0" distR="0">
            <wp:extent cx="3800475" cy="1169035"/>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19"/>
                    <a:srcRect t="45272"/>
                    <a:stretch>
                      <a:fillRect/>
                    </a:stretch>
                  </pic:blipFill>
                  <pic:spPr>
                    <a:xfrm>
                      <a:off x="0" y="0"/>
                      <a:ext cx="3800475" cy="1169285"/>
                    </a:xfrm>
                    <a:prstGeom prst="rect">
                      <a:avLst/>
                    </a:prstGeom>
                  </pic:spPr>
                </pic:pic>
              </a:graphicData>
            </a:graphic>
          </wp:inline>
        </w:drawing>
      </w:r>
    </w:p>
    <w:p w14:paraId="3C579B53">
      <w:pPr>
        <w:numPr>
          <w:ilvl w:val="0"/>
          <w:numId w:val="12"/>
        </w:numPr>
        <w:ind w:left="776"/>
        <w:rPr>
          <w:rFonts w:ascii="仿宋_GB2312" w:eastAsia="仿宋_GB2312"/>
        </w:rPr>
      </w:pPr>
      <w:r>
        <w:rPr>
          <w:rFonts w:hint="eastAsia" w:ascii="仿宋_GB2312" w:eastAsia="仿宋_GB2312"/>
          <w:b/>
        </w:rPr>
        <w:t>提交前检查：</w:t>
      </w:r>
    </w:p>
    <w:p w14:paraId="07EE8597">
      <w:pPr>
        <w:numPr>
          <w:ilvl w:val="0"/>
          <w:numId w:val="11"/>
        </w:numPr>
        <w:ind w:left="440"/>
        <w:rPr>
          <w:rFonts w:ascii="仿宋_GB2312" w:eastAsia="仿宋_GB2312"/>
        </w:rPr>
      </w:pPr>
      <w:r>
        <w:rPr>
          <w:rFonts w:hint="eastAsia" w:ascii="仿宋_GB2312" w:eastAsia="仿宋_GB2312"/>
        </w:rPr>
        <w:t>必填项：确认所有标*字段已填写</w:t>
      </w:r>
    </w:p>
    <w:p w14:paraId="64879B70">
      <w:pPr>
        <w:numPr>
          <w:ilvl w:val="0"/>
          <w:numId w:val="11"/>
        </w:numPr>
        <w:ind w:left="440"/>
        <w:rPr>
          <w:rFonts w:ascii="仿宋_GB2312" w:eastAsia="仿宋_GB2312"/>
        </w:rPr>
      </w:pPr>
      <w:r>
        <w:rPr>
          <w:rFonts w:hint="eastAsia" w:ascii="仿宋_GB2312" w:eastAsia="仿宋_GB2312"/>
        </w:rPr>
        <w:t>文件上传：确认附件已成功上传（显示文件名和大小）</w:t>
      </w:r>
    </w:p>
    <w:p w14:paraId="4163109F">
      <w:pPr>
        <w:numPr>
          <w:ilvl w:val="0"/>
          <w:numId w:val="11"/>
        </w:numPr>
        <w:ind w:left="440"/>
        <w:rPr>
          <w:rFonts w:ascii="仿宋_GB2312" w:eastAsia="仿宋_GB2312"/>
        </w:rPr>
      </w:pPr>
      <w:r>
        <w:rPr>
          <w:rFonts w:hint="eastAsia" w:ascii="仿宋_GB2312" w:eastAsia="仿宋_GB2312"/>
        </w:rPr>
        <w:t>数据核对：特别是数字、日期等关键信息</w:t>
      </w:r>
    </w:p>
    <w:p w14:paraId="1081840C">
      <w:pPr>
        <w:rPr>
          <w:rFonts w:ascii="仿宋_GB2312" w:eastAsia="仿宋_GB2312"/>
        </w:rPr>
      </w:pPr>
    </w:p>
    <w:p w14:paraId="53B3837F">
      <w:pPr>
        <w:pStyle w:val="3"/>
        <w:rPr>
          <w:rFonts w:ascii="仿宋_GB2312" w:eastAsia="仿宋_GB2312"/>
        </w:rPr>
      </w:pPr>
      <w:r>
        <w:rPr>
          <w:rFonts w:hint="eastAsia" w:ascii="仿宋_GB2312" w:eastAsia="仿宋_GB2312"/>
        </w:rPr>
        <w:t>六、常见问题及解决方法</w:t>
      </w:r>
    </w:p>
    <w:p w14:paraId="28C86F63">
      <w:pPr>
        <w:pStyle w:val="4"/>
        <w:rPr>
          <w:rFonts w:ascii="仿宋_GB2312" w:eastAsia="仿宋_GB2312"/>
        </w:rPr>
      </w:pPr>
      <w:r>
        <w:rPr>
          <w:rFonts w:hint="eastAsia" w:ascii="仿宋_GB2312" w:eastAsia="仿宋_GB2312"/>
        </w:rPr>
        <w:t>（一）无法登录渝快办</w:t>
      </w:r>
    </w:p>
    <w:p w14:paraId="2C65F10C">
      <w:pPr>
        <w:ind w:left="440"/>
        <w:rPr>
          <w:rFonts w:ascii="仿宋_GB2312" w:eastAsia="仿宋_GB2312"/>
        </w:rPr>
      </w:pPr>
      <w:r>
        <w:rPr>
          <w:rFonts w:hint="eastAsia" w:ascii="仿宋_GB2312" w:eastAsia="仿宋_GB2312"/>
        </w:rPr>
        <w:t xml:space="preserve">1. </w:t>
      </w:r>
      <w:r>
        <w:rPr>
          <w:rFonts w:hint="eastAsia" w:ascii="仿宋_GB2312" w:eastAsia="仿宋_GB2312"/>
          <w:b/>
        </w:rPr>
        <w:t>问题描述</w:t>
      </w:r>
    </w:p>
    <w:p w14:paraId="5DDD2928">
      <w:pPr>
        <w:numPr>
          <w:ilvl w:val="0"/>
          <w:numId w:val="14"/>
        </w:numPr>
        <w:ind w:left="776"/>
        <w:rPr>
          <w:rFonts w:ascii="仿宋_GB2312" w:eastAsia="仿宋_GB2312"/>
        </w:rPr>
      </w:pPr>
      <w:r>
        <w:rPr>
          <w:rFonts w:hint="eastAsia" w:ascii="仿宋_GB2312" w:eastAsia="仿宋_GB2312"/>
        </w:rPr>
        <w:t xml:space="preserve"> 用户忘记了登录渝快办账号密码，无法正常登录企业端。</w:t>
      </w:r>
    </w:p>
    <w:p w14:paraId="0880CE88">
      <w:pPr>
        <w:ind w:left="440"/>
        <w:rPr>
          <w:rFonts w:ascii="仿宋_GB2312" w:eastAsia="仿宋_GB2312"/>
        </w:rPr>
      </w:pPr>
      <w:r>
        <w:rPr>
          <w:rFonts w:hint="eastAsia" w:ascii="仿宋_GB2312" w:eastAsia="仿宋_GB2312"/>
        </w:rPr>
        <w:t xml:space="preserve">2. </w:t>
      </w:r>
      <w:r>
        <w:rPr>
          <w:rFonts w:hint="eastAsia" w:ascii="仿宋_GB2312" w:eastAsia="仿宋_GB2312"/>
          <w:b/>
        </w:rPr>
        <w:t>解决方法</w:t>
      </w:r>
    </w:p>
    <w:p w14:paraId="507FF991">
      <w:pPr>
        <w:numPr>
          <w:ilvl w:val="0"/>
          <w:numId w:val="13"/>
        </w:numPr>
        <w:ind w:left="776"/>
        <w:rPr>
          <w:rFonts w:ascii="仿宋_GB2312" w:eastAsia="仿宋_GB2312"/>
        </w:rPr>
      </w:pPr>
      <w:r>
        <w:rPr>
          <w:rFonts w:hint="eastAsia" w:ascii="仿宋_GB2312" w:eastAsia="仿宋_GB2312"/>
        </w:rPr>
        <w:t xml:space="preserve"> 在渝快办登录页面，点击【忘记密码】链接。</w:t>
      </w:r>
    </w:p>
    <w:p w14:paraId="5896186D">
      <w:pPr>
        <w:numPr>
          <w:ilvl w:val="0"/>
          <w:numId w:val="13"/>
        </w:numPr>
        <w:ind w:left="776"/>
        <w:rPr>
          <w:rFonts w:ascii="仿宋_GB2312" w:eastAsia="仿宋_GB2312"/>
        </w:rPr>
      </w:pPr>
      <w:r>
        <w:rPr>
          <w:rFonts w:hint="eastAsia" w:ascii="仿宋_GB2312" w:eastAsia="仿宋_GB2312"/>
        </w:rPr>
        <w:t xml:space="preserve"> 按照渝快办系统提示，输入相关信息找回密码。</w:t>
      </w:r>
    </w:p>
    <w:p w14:paraId="1133E4E4">
      <w:pPr>
        <w:numPr>
          <w:ilvl w:val="0"/>
          <w:numId w:val="13"/>
        </w:numPr>
        <w:ind w:left="776"/>
        <w:rPr>
          <w:rFonts w:ascii="仿宋_GB2312" w:eastAsia="仿宋_GB2312"/>
        </w:rPr>
      </w:pPr>
      <w:r>
        <w:rPr>
          <w:rFonts w:hint="eastAsia" w:ascii="仿宋_GB2312" w:eastAsia="仿宋_GB2312"/>
        </w:rPr>
        <w:t>如果以上方法都无法解决问题，请联系渝快办技术支持。</w:t>
      </w:r>
    </w:p>
    <w:p w14:paraId="0EE0C9C2">
      <w:pPr>
        <w:rPr>
          <w:rFonts w:ascii="仿宋_GB2312" w:eastAsia="仿宋_GB2312"/>
        </w:rPr>
      </w:pPr>
      <w:r>
        <w:rPr>
          <w:rFonts w:hint="eastAsia" w:ascii="仿宋_GB2312" w:eastAsia="仿宋_GB2312"/>
        </w:rPr>
        <w:drawing>
          <wp:inline distT="0" distB="0" distL="0" distR="0">
            <wp:extent cx="5278120" cy="4397375"/>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20"/>
                    <a:stretch>
                      <a:fillRect/>
                    </a:stretch>
                  </pic:blipFill>
                  <pic:spPr>
                    <a:xfrm>
                      <a:off x="0" y="0"/>
                      <a:ext cx="5278120" cy="4397790"/>
                    </a:xfrm>
                    <a:prstGeom prst="rect">
                      <a:avLst/>
                    </a:prstGeom>
                  </pic:spPr>
                </pic:pic>
              </a:graphicData>
            </a:graphic>
          </wp:inline>
        </w:drawing>
      </w:r>
    </w:p>
    <w:p w14:paraId="60A8E387">
      <w:pPr>
        <w:rPr>
          <w:rFonts w:ascii="仿宋_GB2312" w:eastAsia="仿宋_GB2312"/>
        </w:rPr>
      </w:pPr>
    </w:p>
    <w:p w14:paraId="4A2D99E5">
      <w:pPr>
        <w:pStyle w:val="4"/>
        <w:rPr>
          <w:rFonts w:ascii="仿宋_GB2312" w:eastAsia="仿宋_GB2312"/>
        </w:rPr>
      </w:pPr>
      <w:r>
        <w:rPr>
          <w:rFonts w:hint="eastAsia" w:ascii="仿宋_GB2312" w:eastAsia="仿宋_GB2312"/>
        </w:rPr>
        <w:t>（二）信息提交失败</w:t>
      </w:r>
    </w:p>
    <w:p w14:paraId="5275B697">
      <w:pPr>
        <w:ind w:firstLine="440" w:firstLineChars="200"/>
        <w:rPr>
          <w:rFonts w:ascii="仿宋_GB2312" w:eastAsia="仿宋_GB2312"/>
        </w:rPr>
      </w:pPr>
      <w:r>
        <w:rPr>
          <w:rFonts w:hint="eastAsia" w:ascii="仿宋_GB2312" w:eastAsia="仿宋_GB2312"/>
        </w:rPr>
        <w:t xml:space="preserve">1. </w:t>
      </w:r>
      <w:r>
        <w:rPr>
          <w:rFonts w:hint="eastAsia" w:ascii="仿宋_GB2312" w:eastAsia="仿宋_GB2312"/>
          <w:b/>
        </w:rPr>
        <w:t>问题描述</w:t>
      </w:r>
    </w:p>
    <w:p w14:paraId="08EA94E0">
      <w:pPr>
        <w:numPr>
          <w:ilvl w:val="0"/>
          <w:numId w:val="15"/>
        </w:numPr>
        <w:rPr>
          <w:rFonts w:ascii="仿宋_GB2312" w:eastAsia="仿宋_GB2312"/>
        </w:rPr>
      </w:pPr>
      <w:r>
        <w:rPr>
          <w:rFonts w:hint="eastAsia" w:ascii="仿宋_GB2312" w:eastAsia="仿宋_GB2312"/>
        </w:rPr>
        <w:t xml:space="preserve"> 用户在提交信息时，系统提示提交失败。</w:t>
      </w:r>
    </w:p>
    <w:p w14:paraId="2A5E1CEF">
      <w:pPr>
        <w:ind w:firstLine="440" w:firstLineChars="200"/>
        <w:rPr>
          <w:rFonts w:ascii="仿宋_GB2312" w:eastAsia="仿宋_GB2312"/>
        </w:rPr>
      </w:pPr>
      <w:r>
        <w:rPr>
          <w:rFonts w:hint="eastAsia" w:ascii="仿宋_GB2312" w:eastAsia="仿宋_GB2312"/>
        </w:rPr>
        <w:t xml:space="preserve">2. </w:t>
      </w:r>
      <w:r>
        <w:rPr>
          <w:rFonts w:hint="eastAsia" w:ascii="仿宋_GB2312" w:eastAsia="仿宋_GB2312"/>
          <w:b/>
        </w:rPr>
        <w:t>解决方法</w:t>
      </w:r>
    </w:p>
    <w:p w14:paraId="7788C234">
      <w:pPr>
        <w:numPr>
          <w:ilvl w:val="0"/>
          <w:numId w:val="13"/>
        </w:numPr>
        <w:ind w:left="776"/>
        <w:rPr>
          <w:rFonts w:ascii="仿宋_GB2312" w:eastAsia="仿宋_GB2312"/>
        </w:rPr>
      </w:pPr>
      <w:r>
        <w:rPr>
          <w:rFonts w:hint="eastAsia" w:ascii="仿宋_GB2312" w:eastAsia="仿宋_GB2312"/>
        </w:rPr>
        <w:t xml:space="preserve"> 检查填写的信息是否符合系统的要求，如标题长度、内容格式、是否必填等。如果信息不符合要求，按照系统提示进行修改后，重新提交。</w:t>
      </w:r>
    </w:p>
    <w:p w14:paraId="548F4CBC">
      <w:pPr>
        <w:numPr>
          <w:ilvl w:val="0"/>
          <w:numId w:val="16"/>
        </w:numPr>
        <w:ind w:left="776"/>
        <w:rPr>
          <w:rFonts w:ascii="仿宋_GB2312" w:eastAsia="仿宋_GB2312"/>
        </w:rPr>
      </w:pPr>
      <w:r>
        <w:rPr>
          <w:rFonts w:hint="eastAsia" w:ascii="仿宋_GB2312" w:eastAsia="仿宋_GB2312"/>
        </w:rPr>
        <w:t xml:space="preserve"> 检查网络连接是否正常。如果网络连接不稳定，可能会导致信息提交失败。可以尝试切换网络环境或稍后再试。</w:t>
      </w:r>
    </w:p>
    <w:p w14:paraId="187FAE47">
      <w:pPr>
        <w:numPr>
          <w:ilvl w:val="0"/>
          <w:numId w:val="17"/>
        </w:numPr>
        <w:ind w:left="776"/>
        <w:rPr>
          <w:rFonts w:ascii="仿宋_GB2312" w:eastAsia="仿宋_GB2312"/>
        </w:rPr>
      </w:pPr>
      <w:r>
        <w:rPr>
          <w:rFonts w:hint="eastAsia" w:ascii="仿宋_GB2312" w:eastAsia="仿宋_GB2312"/>
        </w:rPr>
        <w:t xml:space="preserve"> 若反复提示错误但无法定位问题，可截图保存提示信息并联系技术支持人员（电话：</w:t>
      </w:r>
      <w:r>
        <w:rPr>
          <w:rFonts w:hint="eastAsia" w:ascii="仿宋_GB2312" w:eastAsia="仿宋_GB2312"/>
          <w:b/>
        </w:rPr>
        <w:t>60353890</w:t>
      </w:r>
      <w:r>
        <w:rPr>
          <w:rFonts w:hint="eastAsia" w:ascii="仿宋_GB2312" w:eastAsia="仿宋_GB2312"/>
        </w:rPr>
        <w:t>），协助排查和解决问题。</w:t>
      </w:r>
    </w:p>
    <w:p w14:paraId="754D956F">
      <w:pPr>
        <w:rPr>
          <w:rFonts w:ascii="仿宋_GB2312" w:eastAsia="仿宋_GB2312"/>
        </w:rPr>
      </w:pPr>
    </w:p>
    <w:p w14:paraId="3C6AB3A4">
      <w:pPr>
        <w:pStyle w:val="3"/>
        <w:rPr>
          <w:rFonts w:ascii="仿宋_GB2312" w:eastAsia="仿宋_GB2312"/>
        </w:rPr>
      </w:pPr>
      <w:r>
        <w:rPr>
          <w:rFonts w:hint="eastAsia" w:ascii="仿宋_GB2312" w:eastAsia="仿宋_GB2312"/>
        </w:rPr>
        <w:t>七、结语</w:t>
      </w:r>
    </w:p>
    <w:p w14:paraId="647A7F34">
      <w:pPr>
        <w:ind w:firstLine="440" w:firstLineChars="200"/>
        <w:rPr>
          <w:rFonts w:ascii="仿宋_GB2312" w:eastAsia="仿宋_GB2312"/>
        </w:rPr>
      </w:pPr>
      <w:r>
        <w:rPr>
          <w:rFonts w:hint="eastAsia" w:ascii="仿宋_GB2312" w:eastAsia="仿宋_GB2312"/>
        </w:rPr>
        <w:t>本操作手册涵盖了企业服务门户企业端的基本操作方法和常见问题的解决方法。希望用户能够通过本手册，快速熟悉和掌握企业服务门户企业端的使用方法，提高工作效率。在使用过程中，如果遇到任何问题或有任何建议，欢迎工作日9:00-18:00联系技术支持人员（电话：</w:t>
      </w:r>
      <w:r>
        <w:rPr>
          <w:rFonts w:hint="eastAsia" w:ascii="仿宋_GB2312" w:eastAsia="仿宋_GB2312"/>
          <w:b/>
        </w:rPr>
        <w:t>60353890</w:t>
      </w:r>
      <w:r>
        <w:rPr>
          <w:rFonts w:hint="eastAsia" w:ascii="仿宋_GB2312" w:eastAsia="仿宋_GB2312"/>
        </w:rPr>
        <w:t>）。</w:t>
      </w:r>
    </w:p>
    <w:sectPr>
      <w:pgSz w:w="11906" w:h="16838"/>
      <w:pgMar w:top="1440" w:right="1797" w:bottom="1440" w:left="1797"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onaco">
    <w:altName w:val="Courier New"/>
    <w:panose1 w:val="00000000000000000000"/>
    <w:charset w:val="00"/>
    <w:family w:val="auto"/>
    <w:pitch w:val="default"/>
    <w:sig w:usb0="00000000" w:usb1="00000000" w:usb2="00000000" w:usb3="00000000" w:csb0="00000197"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汉仪仿宋KW">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Courier New">
    <w:panose1 w:val="02070309020205020404"/>
    <w:charset w:val="00"/>
    <w:family w:val="auto"/>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F05B2"/>
    <w:multiLevelType w:val="multilevel"/>
    <w:tmpl w:val="08DF05B2"/>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
    <w:nsid w:val="0DC44F4D"/>
    <w:multiLevelType w:val="multilevel"/>
    <w:tmpl w:val="0DC44F4D"/>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2">
    <w:nsid w:val="12B71EF1"/>
    <w:multiLevelType w:val="multilevel"/>
    <w:tmpl w:val="12B71EF1"/>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3">
    <w:nsid w:val="17CD57D4"/>
    <w:multiLevelType w:val="multilevel"/>
    <w:tmpl w:val="17CD57D4"/>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4">
    <w:nsid w:val="1CD96D3C"/>
    <w:multiLevelType w:val="multilevel"/>
    <w:tmpl w:val="1CD96D3C"/>
    <w:lvl w:ilvl="0" w:tentative="0">
      <w:start w:val="1"/>
      <w:numFmt w:val="decimal"/>
      <w:lvlText w:val="%1."/>
      <w:lvlJc w:val="left"/>
    </w:lvl>
    <w:lvl w:ilvl="1" w:tentative="0">
      <w:start w:val="1"/>
      <w:numFmt w:val="lowerLetter"/>
      <w:lvlText w:val="%2."/>
      <w:lvlJc w:val="left"/>
      <w:pPr>
        <w:ind w:leftChars="200" w:hanging="336"/>
      </w:pPr>
    </w:lvl>
    <w:lvl w:ilvl="2" w:tentative="0">
      <w:start w:val="1"/>
      <w:numFmt w:val="lowerRoman"/>
      <w:lvlText w:val="%3."/>
      <w:lvlJc w:val="left"/>
      <w:pPr>
        <w:ind w:leftChars="400" w:hanging="336"/>
      </w:pPr>
    </w:lvl>
    <w:lvl w:ilvl="3" w:tentative="0">
      <w:start w:val="1"/>
      <w:numFmt w:val="decimal"/>
      <w:lvlText w:val="%4."/>
      <w:lvlJc w:val="left"/>
      <w:pPr>
        <w:ind w:leftChars="600" w:firstLine="0"/>
      </w:pPr>
    </w:lvl>
    <w:lvl w:ilvl="4" w:tentative="0">
      <w:start w:val="1"/>
      <w:numFmt w:val="lowerLetter"/>
      <w:lvlText w:val="%5."/>
      <w:lvlJc w:val="left"/>
      <w:pPr>
        <w:ind w:leftChars="800" w:hanging="336"/>
      </w:pPr>
    </w:lvl>
    <w:lvl w:ilvl="5" w:tentative="0">
      <w:start w:val="1"/>
      <w:numFmt w:val="lowerRoman"/>
      <w:lvlText w:val="%6."/>
      <w:lvlJc w:val="left"/>
      <w:pPr>
        <w:ind w:leftChars="1000" w:hanging="336"/>
      </w:pPr>
    </w:lvl>
    <w:lvl w:ilvl="6" w:tentative="0">
      <w:start w:val="1"/>
      <w:numFmt w:val="decimal"/>
      <w:lvlText w:val="%7."/>
      <w:lvlJc w:val="left"/>
      <w:pPr>
        <w:ind w:leftChars="1200" w:firstLine="0"/>
      </w:pPr>
    </w:lvl>
    <w:lvl w:ilvl="7" w:tentative="0">
      <w:start w:val="1"/>
      <w:numFmt w:val="lowerLetter"/>
      <w:lvlText w:val="%8."/>
      <w:lvlJc w:val="left"/>
      <w:pPr>
        <w:ind w:leftChars="1400" w:hanging="336"/>
      </w:pPr>
    </w:lvl>
    <w:lvl w:ilvl="8" w:tentative="0">
      <w:start w:val="1"/>
      <w:numFmt w:val="lowerRoman"/>
      <w:lvlText w:val="%9."/>
      <w:lvlJc w:val="left"/>
      <w:pPr>
        <w:ind w:leftChars="1600" w:hanging="336"/>
      </w:pPr>
    </w:lvl>
  </w:abstractNum>
  <w:abstractNum w:abstractNumId="5">
    <w:nsid w:val="24602666"/>
    <w:multiLevelType w:val="multilevel"/>
    <w:tmpl w:val="24602666"/>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6">
    <w:nsid w:val="258A51ED"/>
    <w:multiLevelType w:val="multilevel"/>
    <w:tmpl w:val="258A51ED"/>
    <w:lvl w:ilvl="0" w:tentative="0">
      <w:start w:val="1"/>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7">
    <w:nsid w:val="31083468"/>
    <w:multiLevelType w:val="multilevel"/>
    <w:tmpl w:val="31083468"/>
    <w:lvl w:ilvl="0" w:tentative="0">
      <w:start w:val="1"/>
      <w:numFmt w:val="decimal"/>
      <w:lvlText w:val="%1."/>
      <w:lvlJc w:val="left"/>
      <w:pPr>
        <w:ind w:left="336" w:hanging="336"/>
      </w:pPr>
    </w:lvl>
    <w:lvl w:ilvl="1" w:tentative="0">
      <w:start w:val="1"/>
      <w:numFmt w:val="decimal"/>
      <w:lvlText w:val="%1.%2."/>
      <w:lvlJc w:val="left"/>
      <w:pPr>
        <w:ind w:left="944" w:hanging="504"/>
      </w:pPr>
    </w:lvl>
    <w:lvl w:ilvl="2" w:tentative="0">
      <w:start w:val="1"/>
      <w:numFmt w:val="decimal"/>
      <w:lvlText w:val="%1.%2.%3."/>
      <w:lvlJc w:val="left"/>
      <w:pPr>
        <w:ind w:left="1552" w:hanging="672"/>
      </w:pPr>
    </w:lvl>
    <w:lvl w:ilvl="3" w:tentative="0">
      <w:start w:val="1"/>
      <w:numFmt w:val="decimal"/>
      <w:lvlText w:val="%1.%2.%3.%4."/>
      <w:lvlJc w:val="left"/>
      <w:pPr>
        <w:ind w:left="2160" w:hanging="840"/>
      </w:pPr>
    </w:lvl>
    <w:lvl w:ilvl="4" w:tentative="0">
      <w:start w:val="1"/>
      <w:numFmt w:val="decimal"/>
      <w:lvlText w:val="%1.%2.%3.%4.%5."/>
      <w:lvlJc w:val="left"/>
      <w:pPr>
        <w:ind w:left="2768" w:hanging="1008"/>
      </w:pPr>
    </w:lvl>
    <w:lvl w:ilvl="5" w:tentative="0">
      <w:start w:val="1"/>
      <w:numFmt w:val="decimal"/>
      <w:lvlText w:val="%1.%2.%3.%4.%5.%6."/>
      <w:lvlJc w:val="left"/>
      <w:pPr>
        <w:ind w:left="3376" w:hanging="1176"/>
      </w:pPr>
    </w:lvl>
    <w:lvl w:ilvl="6" w:tentative="0">
      <w:start w:val="1"/>
      <w:numFmt w:val="decimal"/>
      <w:lvlText w:val="%1.%2.%3.%4.%5.%6.%7."/>
      <w:lvlJc w:val="left"/>
      <w:pPr>
        <w:ind w:left="3984" w:hanging="1344"/>
      </w:pPr>
    </w:lvl>
    <w:lvl w:ilvl="7" w:tentative="0">
      <w:start w:val="1"/>
      <w:numFmt w:val="decimal"/>
      <w:lvlText w:val="%1.%2.%3.%4.%5.%6.%7.%8."/>
      <w:lvlJc w:val="left"/>
      <w:pPr>
        <w:ind w:left="4592" w:hanging="1512"/>
      </w:pPr>
    </w:lvl>
    <w:lvl w:ilvl="8" w:tentative="0">
      <w:start w:val="1"/>
      <w:numFmt w:val="decimal"/>
      <w:lvlText w:val="%1.%2.%3.%4.%5.%6.%7.%8.%9."/>
      <w:lvlJc w:val="left"/>
      <w:pPr>
        <w:ind w:left="5200" w:hanging="1680"/>
      </w:pPr>
    </w:lvl>
  </w:abstractNum>
  <w:abstractNum w:abstractNumId="8">
    <w:nsid w:val="332A0FB4"/>
    <w:multiLevelType w:val="multilevel"/>
    <w:tmpl w:val="332A0FB4"/>
    <w:lvl w:ilvl="0" w:tentative="0">
      <w:start w:val="1"/>
      <w:numFmt w:val="bullet"/>
      <w:lvlText w:val=""/>
      <w:lvlJc w:val="left"/>
      <w:pPr>
        <w:ind w:left="776" w:hanging="336"/>
      </w:pPr>
      <w:rPr>
        <w:rFonts w:hint="default" w:ascii="Wingdings" w:hAnsi="Wingdings" w:cs="Wingdings"/>
      </w:rPr>
    </w:lvl>
    <w:lvl w:ilvl="1" w:tentative="0">
      <w:start w:val="1"/>
      <w:numFmt w:val="bullet"/>
      <w:lvlText w:val="¡"/>
      <w:lvlJc w:val="left"/>
      <w:pPr>
        <w:ind w:left="1216" w:hanging="336"/>
      </w:pPr>
      <w:rPr>
        <w:rFonts w:hint="default" w:ascii="Wingdings" w:hAnsi="Wingdings" w:cs="Wingdings"/>
      </w:rPr>
    </w:lvl>
    <w:lvl w:ilvl="2" w:tentative="0">
      <w:start w:val="1"/>
      <w:numFmt w:val="bullet"/>
      <w:lvlText w:val=""/>
      <w:lvlJc w:val="left"/>
      <w:pPr>
        <w:ind w:left="1656" w:hanging="336"/>
      </w:pPr>
      <w:rPr>
        <w:rFonts w:hint="default" w:ascii="Wingdings" w:hAnsi="Wingdings" w:cs="Wingdings"/>
      </w:rPr>
    </w:lvl>
    <w:lvl w:ilvl="3" w:tentative="0">
      <w:start w:val="1"/>
      <w:numFmt w:val="bullet"/>
      <w:lvlText w:val=""/>
      <w:lvlJc w:val="left"/>
      <w:pPr>
        <w:ind w:left="2096" w:hanging="336"/>
      </w:pPr>
      <w:rPr>
        <w:rFonts w:hint="default" w:ascii="Wingdings" w:hAnsi="Wingdings" w:cs="Wingdings"/>
      </w:rPr>
    </w:lvl>
    <w:lvl w:ilvl="4" w:tentative="0">
      <w:start w:val="1"/>
      <w:numFmt w:val="bullet"/>
      <w:lvlText w:val="¡"/>
      <w:lvlJc w:val="left"/>
      <w:pPr>
        <w:ind w:left="2536" w:hanging="336"/>
      </w:pPr>
      <w:rPr>
        <w:rFonts w:hint="default" w:ascii="Wingdings" w:hAnsi="Wingdings" w:cs="Wingdings"/>
      </w:rPr>
    </w:lvl>
    <w:lvl w:ilvl="5" w:tentative="0">
      <w:start w:val="1"/>
      <w:numFmt w:val="bullet"/>
      <w:lvlText w:val=""/>
      <w:lvlJc w:val="left"/>
      <w:pPr>
        <w:ind w:left="2976" w:hanging="336"/>
      </w:pPr>
      <w:rPr>
        <w:rFonts w:hint="default" w:ascii="Wingdings" w:hAnsi="Wingdings" w:cs="Wingdings"/>
      </w:rPr>
    </w:lvl>
    <w:lvl w:ilvl="6" w:tentative="0">
      <w:start w:val="1"/>
      <w:numFmt w:val="bullet"/>
      <w:lvlText w:val=""/>
      <w:lvlJc w:val="left"/>
      <w:pPr>
        <w:ind w:left="3416" w:hanging="336"/>
      </w:pPr>
      <w:rPr>
        <w:rFonts w:hint="default" w:ascii="Wingdings" w:hAnsi="Wingdings" w:cs="Wingdings"/>
      </w:rPr>
    </w:lvl>
    <w:lvl w:ilvl="7" w:tentative="0">
      <w:start w:val="1"/>
      <w:numFmt w:val="bullet"/>
      <w:lvlText w:val="¡"/>
      <w:lvlJc w:val="left"/>
      <w:pPr>
        <w:ind w:left="3856" w:hanging="336"/>
      </w:pPr>
      <w:rPr>
        <w:rFonts w:hint="default" w:ascii="Wingdings" w:hAnsi="Wingdings" w:cs="Wingdings"/>
      </w:rPr>
    </w:lvl>
    <w:lvl w:ilvl="8" w:tentative="0">
      <w:start w:val="1"/>
      <w:numFmt w:val="bullet"/>
      <w:lvlText w:val=""/>
      <w:lvlJc w:val="left"/>
      <w:pPr>
        <w:ind w:left="4296" w:hanging="336"/>
      </w:pPr>
      <w:rPr>
        <w:rFonts w:hint="default" w:ascii="Wingdings" w:hAnsi="Wingdings" w:cs="Wingdings"/>
      </w:rPr>
    </w:lvl>
  </w:abstractNum>
  <w:abstractNum w:abstractNumId="9">
    <w:nsid w:val="33B323A2"/>
    <w:multiLevelType w:val="multilevel"/>
    <w:tmpl w:val="33B323A2"/>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0">
    <w:nsid w:val="351530B2"/>
    <w:multiLevelType w:val="multilevel"/>
    <w:tmpl w:val="351530B2"/>
    <w:lvl w:ilvl="0" w:tentative="0">
      <w:start w:val="1"/>
      <w:numFmt w:val="bullet"/>
      <w:lvlText w:val=""/>
      <w:lvlJc w:val="left"/>
      <w:pPr>
        <w:ind w:left="776" w:hanging="336"/>
      </w:pPr>
      <w:rPr>
        <w:rFonts w:hint="default" w:ascii="Wingdings" w:hAnsi="Wingdings" w:cs="Wingdings"/>
      </w:rPr>
    </w:lvl>
    <w:lvl w:ilvl="1" w:tentative="0">
      <w:start w:val="1"/>
      <w:numFmt w:val="bullet"/>
      <w:lvlText w:val="¡"/>
      <w:lvlJc w:val="left"/>
      <w:pPr>
        <w:ind w:left="1216" w:hanging="336"/>
      </w:pPr>
      <w:rPr>
        <w:rFonts w:hint="default" w:ascii="Wingdings" w:hAnsi="Wingdings" w:cs="Wingdings"/>
      </w:rPr>
    </w:lvl>
    <w:lvl w:ilvl="2" w:tentative="0">
      <w:start w:val="1"/>
      <w:numFmt w:val="bullet"/>
      <w:lvlText w:val=""/>
      <w:lvlJc w:val="left"/>
      <w:pPr>
        <w:ind w:left="1656" w:hanging="336"/>
      </w:pPr>
      <w:rPr>
        <w:rFonts w:hint="default" w:ascii="Wingdings" w:hAnsi="Wingdings" w:cs="Wingdings"/>
      </w:rPr>
    </w:lvl>
    <w:lvl w:ilvl="3" w:tentative="0">
      <w:start w:val="1"/>
      <w:numFmt w:val="bullet"/>
      <w:lvlText w:val=""/>
      <w:lvlJc w:val="left"/>
      <w:pPr>
        <w:ind w:left="2096" w:hanging="336"/>
      </w:pPr>
      <w:rPr>
        <w:rFonts w:hint="default" w:ascii="Wingdings" w:hAnsi="Wingdings" w:cs="Wingdings"/>
      </w:rPr>
    </w:lvl>
    <w:lvl w:ilvl="4" w:tentative="0">
      <w:start w:val="1"/>
      <w:numFmt w:val="bullet"/>
      <w:lvlText w:val="¡"/>
      <w:lvlJc w:val="left"/>
      <w:pPr>
        <w:ind w:left="2536" w:hanging="336"/>
      </w:pPr>
      <w:rPr>
        <w:rFonts w:hint="default" w:ascii="Wingdings" w:hAnsi="Wingdings" w:cs="Wingdings"/>
      </w:rPr>
    </w:lvl>
    <w:lvl w:ilvl="5" w:tentative="0">
      <w:start w:val="1"/>
      <w:numFmt w:val="bullet"/>
      <w:lvlText w:val=""/>
      <w:lvlJc w:val="left"/>
      <w:pPr>
        <w:ind w:left="2976" w:hanging="336"/>
      </w:pPr>
      <w:rPr>
        <w:rFonts w:hint="default" w:ascii="Wingdings" w:hAnsi="Wingdings" w:cs="Wingdings"/>
      </w:rPr>
    </w:lvl>
    <w:lvl w:ilvl="6" w:tentative="0">
      <w:start w:val="1"/>
      <w:numFmt w:val="bullet"/>
      <w:lvlText w:val=""/>
      <w:lvlJc w:val="left"/>
      <w:pPr>
        <w:ind w:left="3416" w:hanging="336"/>
      </w:pPr>
      <w:rPr>
        <w:rFonts w:hint="default" w:ascii="Wingdings" w:hAnsi="Wingdings" w:cs="Wingdings"/>
      </w:rPr>
    </w:lvl>
    <w:lvl w:ilvl="7" w:tentative="0">
      <w:start w:val="1"/>
      <w:numFmt w:val="bullet"/>
      <w:lvlText w:val="¡"/>
      <w:lvlJc w:val="left"/>
      <w:pPr>
        <w:ind w:left="3856" w:hanging="336"/>
      </w:pPr>
      <w:rPr>
        <w:rFonts w:hint="default" w:ascii="Wingdings" w:hAnsi="Wingdings" w:cs="Wingdings"/>
      </w:rPr>
    </w:lvl>
    <w:lvl w:ilvl="8" w:tentative="0">
      <w:start w:val="1"/>
      <w:numFmt w:val="bullet"/>
      <w:lvlText w:val=""/>
      <w:lvlJc w:val="left"/>
      <w:pPr>
        <w:ind w:left="4296" w:hanging="336"/>
      </w:pPr>
      <w:rPr>
        <w:rFonts w:hint="default" w:ascii="Wingdings" w:hAnsi="Wingdings" w:cs="Wingdings"/>
      </w:rPr>
    </w:lvl>
  </w:abstractNum>
  <w:abstractNum w:abstractNumId="11">
    <w:nsid w:val="395824B8"/>
    <w:multiLevelType w:val="multilevel"/>
    <w:tmpl w:val="395824B8"/>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2">
    <w:nsid w:val="3A713687"/>
    <w:multiLevelType w:val="multilevel"/>
    <w:tmpl w:val="3A713687"/>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3">
    <w:nsid w:val="3CED1993"/>
    <w:multiLevelType w:val="multilevel"/>
    <w:tmpl w:val="3CED1993"/>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4">
    <w:nsid w:val="5046467B"/>
    <w:multiLevelType w:val="multilevel"/>
    <w:tmpl w:val="5046467B"/>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5">
    <w:nsid w:val="5965486B"/>
    <w:multiLevelType w:val="multilevel"/>
    <w:tmpl w:val="5965486B"/>
    <w:lvl w:ilvl="0" w:tentative="0">
      <w:start w:val="1"/>
      <w:numFmt w:val="bullet"/>
      <w:lvlText w:val=""/>
      <w:lvlJc w:val="left"/>
      <w:pPr>
        <w:ind w:left="336" w:hanging="336"/>
      </w:pPr>
      <w:rPr>
        <w:rFonts w:hint="default" w:ascii="Wingdings" w:hAnsi="Wingdings" w:cs="Wingdings"/>
      </w:rPr>
    </w:lvl>
    <w:lvl w:ilvl="1" w:tentative="0">
      <w:start w:val="1"/>
      <w:numFmt w:val="bullet"/>
      <w:lvlText w:val="¡"/>
      <w:lvlJc w:val="left"/>
      <w:pPr>
        <w:ind w:left="776" w:hanging="336"/>
      </w:pPr>
      <w:rPr>
        <w:rFonts w:hint="default" w:ascii="Wingdings" w:hAnsi="Wingdings" w:cs="Wingdings"/>
      </w:rPr>
    </w:lvl>
    <w:lvl w:ilvl="2" w:tentative="0">
      <w:start w:val="1"/>
      <w:numFmt w:val="bullet"/>
      <w:lvlText w:val=""/>
      <w:lvlJc w:val="left"/>
      <w:pPr>
        <w:ind w:left="1216" w:hanging="336"/>
      </w:pPr>
      <w:rPr>
        <w:rFonts w:hint="default" w:ascii="Wingdings" w:hAnsi="Wingdings" w:cs="Wingdings"/>
      </w:rPr>
    </w:lvl>
    <w:lvl w:ilvl="3" w:tentative="0">
      <w:start w:val="1"/>
      <w:numFmt w:val="bullet"/>
      <w:lvlText w:val=""/>
      <w:lvlJc w:val="left"/>
      <w:pPr>
        <w:ind w:left="1656" w:hanging="336"/>
      </w:pPr>
      <w:rPr>
        <w:rFonts w:hint="default" w:ascii="Wingdings" w:hAnsi="Wingdings" w:cs="Wingdings"/>
      </w:rPr>
    </w:lvl>
    <w:lvl w:ilvl="4" w:tentative="0">
      <w:start w:val="1"/>
      <w:numFmt w:val="bullet"/>
      <w:lvlText w:val="¡"/>
      <w:lvlJc w:val="left"/>
      <w:pPr>
        <w:ind w:left="2096" w:hanging="336"/>
      </w:pPr>
      <w:rPr>
        <w:rFonts w:hint="default" w:ascii="Wingdings" w:hAnsi="Wingdings" w:cs="Wingdings"/>
      </w:rPr>
    </w:lvl>
    <w:lvl w:ilvl="5" w:tentative="0">
      <w:start w:val="1"/>
      <w:numFmt w:val="bullet"/>
      <w:lvlText w:val=""/>
      <w:lvlJc w:val="left"/>
      <w:pPr>
        <w:ind w:left="2536" w:hanging="336"/>
      </w:pPr>
      <w:rPr>
        <w:rFonts w:hint="default" w:ascii="Wingdings" w:hAnsi="Wingdings" w:cs="Wingdings"/>
      </w:rPr>
    </w:lvl>
    <w:lvl w:ilvl="6" w:tentative="0">
      <w:start w:val="1"/>
      <w:numFmt w:val="bullet"/>
      <w:lvlText w:val=""/>
      <w:lvlJc w:val="left"/>
      <w:pPr>
        <w:ind w:left="2976" w:hanging="336"/>
      </w:pPr>
      <w:rPr>
        <w:rFonts w:hint="default" w:ascii="Wingdings" w:hAnsi="Wingdings" w:cs="Wingdings"/>
      </w:rPr>
    </w:lvl>
    <w:lvl w:ilvl="7" w:tentative="0">
      <w:start w:val="1"/>
      <w:numFmt w:val="bullet"/>
      <w:lvlText w:val="¡"/>
      <w:lvlJc w:val="left"/>
      <w:pPr>
        <w:ind w:left="3416" w:hanging="336"/>
      </w:pPr>
      <w:rPr>
        <w:rFonts w:hint="default" w:ascii="Wingdings" w:hAnsi="Wingdings" w:cs="Wingdings"/>
      </w:rPr>
    </w:lvl>
    <w:lvl w:ilvl="8" w:tentative="0">
      <w:start w:val="1"/>
      <w:numFmt w:val="bullet"/>
      <w:lvlText w:val=""/>
      <w:lvlJc w:val="left"/>
      <w:pPr>
        <w:ind w:left="3856" w:hanging="336"/>
      </w:pPr>
      <w:rPr>
        <w:rFonts w:hint="default" w:ascii="Wingdings" w:hAnsi="Wingdings" w:cs="Wingdings"/>
      </w:rPr>
    </w:lvl>
  </w:abstractNum>
  <w:abstractNum w:abstractNumId="16">
    <w:nsid w:val="6C901995"/>
    <w:multiLevelType w:val="multilevel"/>
    <w:tmpl w:val="6C901995"/>
    <w:lvl w:ilvl="0" w:tentative="0">
      <w:start w:val="1"/>
      <w:numFmt w:val="bullet"/>
      <w:lvlText w:val=""/>
      <w:lvlJc w:val="left"/>
      <w:rPr>
        <w:rFonts w:hint="default" w:ascii="Wingdings" w:hAnsi="Wingdings" w:cs="Wingdings"/>
      </w:rPr>
    </w:lvl>
    <w:lvl w:ilvl="1" w:tentative="0">
      <w:start w:val="1"/>
      <w:numFmt w:val="bullet"/>
      <w:lvlText w:val="¡"/>
      <w:lvlJc w:val="left"/>
      <w:pPr>
        <w:ind w:leftChars="200" w:hanging="336"/>
      </w:pPr>
      <w:rPr>
        <w:rFonts w:hint="default" w:ascii="Wingdings" w:hAnsi="Wingdings" w:cs="Wingdings"/>
      </w:rPr>
    </w:lvl>
    <w:lvl w:ilvl="2" w:tentative="0">
      <w:start w:val="1"/>
      <w:numFmt w:val="bullet"/>
      <w:lvlText w:val=""/>
      <w:lvlJc w:val="left"/>
      <w:pPr>
        <w:ind w:leftChars="400" w:hanging="336"/>
      </w:pPr>
      <w:rPr>
        <w:rFonts w:hint="default" w:ascii="Wingdings" w:hAnsi="Wingdings" w:cs="Wingdings"/>
      </w:rPr>
    </w:lvl>
    <w:lvl w:ilvl="3" w:tentative="0">
      <w:start w:val="1"/>
      <w:numFmt w:val="bullet"/>
      <w:lvlText w:val=""/>
      <w:lvlJc w:val="left"/>
      <w:pPr>
        <w:ind w:leftChars="600" w:firstLine="0"/>
      </w:pPr>
      <w:rPr>
        <w:rFonts w:hint="default" w:ascii="Wingdings" w:hAnsi="Wingdings" w:cs="Wingdings"/>
      </w:rPr>
    </w:lvl>
    <w:lvl w:ilvl="4" w:tentative="0">
      <w:start w:val="1"/>
      <w:numFmt w:val="bullet"/>
      <w:lvlText w:val="¡"/>
      <w:lvlJc w:val="left"/>
      <w:pPr>
        <w:ind w:leftChars="800" w:hanging="336"/>
      </w:pPr>
      <w:rPr>
        <w:rFonts w:hint="default" w:ascii="Wingdings" w:hAnsi="Wingdings" w:cs="Wingdings"/>
      </w:rPr>
    </w:lvl>
    <w:lvl w:ilvl="5" w:tentative="0">
      <w:start w:val="1"/>
      <w:numFmt w:val="bullet"/>
      <w:lvlText w:val=""/>
      <w:lvlJc w:val="left"/>
      <w:pPr>
        <w:ind w:leftChars="1000" w:hanging="336"/>
      </w:pPr>
      <w:rPr>
        <w:rFonts w:hint="default" w:ascii="Wingdings" w:hAnsi="Wingdings" w:cs="Wingdings"/>
      </w:rPr>
    </w:lvl>
    <w:lvl w:ilvl="6" w:tentative="0">
      <w:start w:val="1"/>
      <w:numFmt w:val="bullet"/>
      <w:lvlText w:val=""/>
      <w:lvlJc w:val="left"/>
      <w:pPr>
        <w:ind w:leftChars="1200" w:firstLine="0"/>
      </w:pPr>
      <w:rPr>
        <w:rFonts w:hint="default" w:ascii="Wingdings" w:hAnsi="Wingdings" w:cs="Wingdings"/>
      </w:rPr>
    </w:lvl>
    <w:lvl w:ilvl="7" w:tentative="0">
      <w:start w:val="1"/>
      <w:numFmt w:val="bullet"/>
      <w:lvlText w:val="¡"/>
      <w:lvlJc w:val="left"/>
      <w:pPr>
        <w:ind w:leftChars="1400" w:hanging="336"/>
      </w:pPr>
      <w:rPr>
        <w:rFonts w:hint="default" w:ascii="Wingdings" w:hAnsi="Wingdings" w:cs="Wingdings"/>
      </w:rPr>
    </w:lvl>
    <w:lvl w:ilvl="8" w:tentative="0">
      <w:start w:val="1"/>
      <w:numFmt w:val="bullet"/>
      <w:lvlText w:val=""/>
      <w:lvlJc w:val="left"/>
      <w:pPr>
        <w:ind w:leftChars="1600" w:hanging="336"/>
      </w:pPr>
      <w:rPr>
        <w:rFonts w:hint="default" w:ascii="Wingdings" w:hAnsi="Wingdings" w:cs="Wingdings"/>
      </w:rPr>
    </w:lvl>
  </w:abstractNum>
  <w:num w:numId="1">
    <w:abstractNumId w:val="13"/>
  </w:num>
  <w:num w:numId="2">
    <w:abstractNumId w:val="15"/>
  </w:num>
  <w:num w:numId="3">
    <w:abstractNumId w:val="14"/>
  </w:num>
  <w:num w:numId="4">
    <w:abstractNumId w:val="11"/>
  </w:num>
  <w:num w:numId="5">
    <w:abstractNumId w:val="1"/>
  </w:num>
  <w:num w:numId="6">
    <w:abstractNumId w:val="12"/>
  </w:num>
  <w:num w:numId="7">
    <w:abstractNumId w:val="7"/>
  </w:num>
  <w:num w:numId="8">
    <w:abstractNumId w:val="8"/>
  </w:num>
  <w:num w:numId="9">
    <w:abstractNumId w:val="5"/>
  </w:num>
  <w:num w:numId="10">
    <w:abstractNumId w:val="4"/>
  </w:num>
  <w:num w:numId="11">
    <w:abstractNumId w:val="16"/>
  </w:num>
  <w:num w:numId="12">
    <w:abstractNumId w:val="6"/>
  </w:num>
  <w:num w:numId="13">
    <w:abstractNumId w:val="9"/>
  </w:num>
  <w:num w:numId="14">
    <w:abstractNumId w:val="3"/>
  </w:num>
  <w:num w:numId="15">
    <w:abstractNumId w:val="10"/>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HorizontalSpacing w:val="220"/>
  <w:drawingGridVerticalSpacing w:val="387"/>
  <w:displayHorizontalDrawingGridEvery w:val="0"/>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A24D9F"/>
    <w:rsid w:val="00047A2F"/>
    <w:rsid w:val="000B62CA"/>
    <w:rsid w:val="002A53AA"/>
    <w:rsid w:val="00455BEA"/>
    <w:rsid w:val="005C35DE"/>
    <w:rsid w:val="005F16A6"/>
    <w:rsid w:val="00626AA2"/>
    <w:rsid w:val="0068574D"/>
    <w:rsid w:val="006E696F"/>
    <w:rsid w:val="0071681D"/>
    <w:rsid w:val="007B71C0"/>
    <w:rsid w:val="007C7A70"/>
    <w:rsid w:val="008049DC"/>
    <w:rsid w:val="00890FE1"/>
    <w:rsid w:val="0090731C"/>
    <w:rsid w:val="009E7FC9"/>
    <w:rsid w:val="00A85D95"/>
    <w:rsid w:val="00AB1D25"/>
    <w:rsid w:val="00AD3D80"/>
    <w:rsid w:val="00B23BDD"/>
    <w:rsid w:val="00B727BA"/>
    <w:rsid w:val="00BE0D57"/>
    <w:rsid w:val="00BE2F0E"/>
    <w:rsid w:val="00C93732"/>
    <w:rsid w:val="00CB2249"/>
    <w:rsid w:val="00D946EF"/>
    <w:rsid w:val="00DB438B"/>
    <w:rsid w:val="00E82AB9"/>
    <w:rsid w:val="00F131A7"/>
    <w:rsid w:val="00F50C8B"/>
    <w:rsid w:val="07011CC2"/>
    <w:rsid w:val="07644792"/>
    <w:rsid w:val="09284798"/>
    <w:rsid w:val="0F2B6FD9"/>
    <w:rsid w:val="183C240D"/>
    <w:rsid w:val="1AA24D9F"/>
    <w:rsid w:val="27FBD2E2"/>
    <w:rsid w:val="28DA2E89"/>
    <w:rsid w:val="2A4254F9"/>
    <w:rsid w:val="2D1F32F4"/>
    <w:rsid w:val="323B4D81"/>
    <w:rsid w:val="34B70380"/>
    <w:rsid w:val="3AE174A3"/>
    <w:rsid w:val="43446334"/>
    <w:rsid w:val="44A84E71"/>
    <w:rsid w:val="477DCE1E"/>
    <w:rsid w:val="55A3189B"/>
    <w:rsid w:val="573E1E21"/>
    <w:rsid w:val="5B487E91"/>
    <w:rsid w:val="5CF9550F"/>
    <w:rsid w:val="5EFEBDE8"/>
    <w:rsid w:val="68CA2609"/>
    <w:rsid w:val="68CC1AED"/>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 w:val="BFFBDBCA"/>
    <w:rsid w:val="D5DE8897"/>
    <w:rsid w:val="E7FE3684"/>
    <w:rsid w:val="E95E2A0D"/>
    <w:rsid w:val="EFFF70E4"/>
    <w:rsid w:val="F7EEC240"/>
    <w:rsid w:val="FBF75102"/>
    <w:rsid w:val="FDDC5620"/>
    <w:rsid w:val="FDEA700A"/>
    <w:rsid w:val="FFBFCE42"/>
    <w:rsid w:val="FFFF40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微软雅黑"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qFormat="1" w:unhideWhenUsed="0" w:uiPriority="99" w:semiHidden="0" w:name="toc 8"/>
    <w:lsdException w:unhideWhenUsed="0" w:uiPriority="99" w:semiHidden="0" w:name="toc 9"/>
    <w:lsdException w:unhideWhenUsed="0" w:uiPriority="0" w:semiHidden="0" w:name="Normal Indent"/>
    <w:lsdException w:uiPriority="99"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jc w:val="both"/>
    </w:pPr>
    <w:rPr>
      <w:rFonts w:ascii="Arial" w:hAnsi="Arial" w:eastAsia="微软雅黑" w:cs="Arial"/>
      <w:color w:val="333333"/>
      <w:kern w:val="2"/>
      <w:sz w:val="22"/>
      <w:szCs w:val="24"/>
      <w:lang w:val="en-US" w:eastAsia="zh-CN" w:bidi="ar-SA"/>
    </w:rPr>
  </w:style>
  <w:style w:type="paragraph" w:styleId="2">
    <w:name w:val="heading 1"/>
    <w:basedOn w:val="1"/>
    <w:next w:val="1"/>
    <w:qFormat/>
    <w:uiPriority w:val="0"/>
    <w:pPr>
      <w:keepNext/>
      <w:keepLines/>
      <w:outlineLvl w:val="0"/>
    </w:pPr>
    <w:rPr>
      <w:b/>
      <w:kern w:val="44"/>
      <w:sz w:val="36"/>
    </w:rPr>
  </w:style>
  <w:style w:type="paragraph" w:styleId="3">
    <w:name w:val="heading 2"/>
    <w:basedOn w:val="1"/>
    <w:next w:val="1"/>
    <w:qFormat/>
    <w:uiPriority w:val="0"/>
    <w:pPr>
      <w:keepNext/>
      <w:keepLines/>
      <w:outlineLvl w:val="1"/>
    </w:pPr>
    <w:rPr>
      <w:b/>
      <w:sz w:val="32"/>
    </w:rPr>
  </w:style>
  <w:style w:type="paragraph" w:styleId="4">
    <w:name w:val="heading 3"/>
    <w:basedOn w:val="1"/>
    <w:next w:val="1"/>
    <w:qFormat/>
    <w:uiPriority w:val="0"/>
    <w:pPr>
      <w:keepNext/>
      <w:keepLines/>
      <w:outlineLvl w:val="2"/>
    </w:pPr>
    <w:rPr>
      <w:b/>
      <w:sz w:val="28"/>
    </w:rPr>
  </w:style>
  <w:style w:type="paragraph" w:styleId="5">
    <w:name w:val="heading 4"/>
    <w:basedOn w:val="1"/>
    <w:next w:val="1"/>
    <w:qFormat/>
    <w:uiPriority w:val="0"/>
    <w:pPr>
      <w:keepNext/>
      <w:keepLines/>
      <w:outlineLvl w:val="3"/>
    </w:pPr>
    <w:rPr>
      <w:b/>
      <w:sz w:val="24"/>
    </w:rPr>
  </w:style>
  <w:style w:type="paragraph" w:styleId="6">
    <w:name w:val="heading 5"/>
    <w:basedOn w:val="1"/>
    <w:next w:val="1"/>
    <w:qFormat/>
    <w:uiPriority w:val="0"/>
    <w:pPr>
      <w:keepNext/>
      <w:keepLines/>
      <w:spacing w:line="480" w:lineRule="auto"/>
      <w:outlineLvl w:val="4"/>
    </w:pPr>
    <w:rPr>
      <w:b/>
    </w:rPr>
  </w:style>
  <w:style w:type="paragraph" w:styleId="7">
    <w:name w:val="heading 6"/>
    <w:basedOn w:val="1"/>
    <w:next w:val="1"/>
    <w:qFormat/>
    <w:uiPriority w:val="0"/>
    <w:pPr>
      <w:keepNext/>
      <w:keepLines/>
      <w:spacing w:line="480" w:lineRule="auto"/>
      <w:outlineLvl w:val="5"/>
    </w:pPr>
    <w:rPr>
      <w:b/>
    </w:rPr>
  </w:style>
  <w:style w:type="paragraph" w:styleId="8">
    <w:name w:val="heading 7"/>
    <w:basedOn w:val="1"/>
    <w:next w:val="1"/>
    <w:unhideWhenUsed/>
    <w:qFormat/>
    <w:uiPriority w:val="0"/>
    <w:pPr>
      <w:keepNext/>
      <w:keepLines/>
      <w:spacing w:line="480" w:lineRule="auto"/>
      <w:outlineLvl w:val="6"/>
    </w:pPr>
    <w:rPr>
      <w:b/>
    </w:rPr>
  </w:style>
  <w:style w:type="paragraph" w:styleId="9">
    <w:name w:val="heading 8"/>
    <w:basedOn w:val="1"/>
    <w:next w:val="1"/>
    <w:unhideWhenUsed/>
    <w:qFormat/>
    <w:uiPriority w:val="0"/>
    <w:pPr>
      <w:keepNext/>
      <w:keepLines/>
      <w:spacing w:line="480" w:lineRule="auto"/>
      <w:outlineLvl w:val="7"/>
    </w:pPr>
    <w:rPr>
      <w:b/>
    </w:rPr>
  </w:style>
  <w:style w:type="paragraph" w:styleId="10">
    <w:name w:val="heading 9"/>
    <w:basedOn w:val="1"/>
    <w:next w:val="1"/>
    <w:unhideWhenUsed/>
    <w:qFormat/>
    <w:uiPriority w:val="0"/>
    <w:pPr>
      <w:keepNext/>
      <w:keepLines/>
      <w:spacing w:line="480" w:lineRule="auto"/>
      <w:outlineLvl w:val="8"/>
    </w:pPr>
    <w:rPr>
      <w:b/>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toc 8"/>
    <w:basedOn w:val="1"/>
    <w:next w:val="1"/>
    <w:autoRedefine/>
    <w:qFormat/>
    <w:uiPriority w:val="99"/>
    <w:pPr>
      <w:ind w:left="2940" w:leftChars="1400"/>
    </w:pPr>
  </w:style>
  <w:style w:type="paragraph" w:styleId="12">
    <w:name w:val="footer"/>
    <w:basedOn w:val="1"/>
    <w:uiPriority w:val="0"/>
    <w:pPr>
      <w:tabs>
        <w:tab w:val="center" w:pos="4153"/>
        <w:tab w:val="right" w:pos="8306"/>
      </w:tabs>
      <w:snapToGrid w:val="0"/>
      <w:jc w:val="center"/>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22"/>
    <w:qFormat/>
    <w:uiPriority w:val="0"/>
    <w:pPr>
      <w:jc w:val="center"/>
      <w:outlineLvl w:val="1"/>
    </w:pPr>
    <w:rPr>
      <w:rFonts w:cstheme="minorBidi"/>
      <w:b/>
      <w:bCs/>
      <w:kern w:val="28"/>
      <w:sz w:val="44"/>
      <w:szCs w:val="32"/>
    </w:rPr>
  </w:style>
  <w:style w:type="paragraph" w:styleId="15">
    <w:name w:val="Title"/>
    <w:basedOn w:val="1"/>
    <w:next w:val="1"/>
    <w:link w:val="20"/>
    <w:qFormat/>
    <w:uiPriority w:val="0"/>
    <w:pPr>
      <w:jc w:val="center"/>
      <w:outlineLvl w:val="0"/>
    </w:pPr>
    <w:rPr>
      <w:rFonts w:cstheme="majorBidi"/>
      <w:b/>
      <w:bCs/>
      <w:sz w:val="48"/>
      <w:szCs w:val="32"/>
    </w:rPr>
  </w:style>
  <w:style w:type="table" w:styleId="17">
    <w:name w:val="Table Grid"/>
    <w:basedOn w:val="16"/>
    <w:qFormat/>
    <w:uiPriority w:val="0"/>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9">
    <w:name w:val="Hyperlink"/>
    <w:basedOn w:val="18"/>
    <w:uiPriority w:val="0"/>
    <w:rPr>
      <w:color w:val="1E6FFF"/>
      <w:u w:val="single"/>
    </w:rPr>
  </w:style>
  <w:style w:type="character" w:customStyle="1" w:styleId="20">
    <w:name w:val="标题 字符"/>
    <w:basedOn w:val="18"/>
    <w:link w:val="15"/>
    <w:qFormat/>
    <w:uiPriority w:val="0"/>
    <w:rPr>
      <w:rFonts w:ascii="Arial" w:hAnsi="Arial" w:eastAsia="微软雅黑" w:cstheme="majorBidi"/>
      <w:b/>
      <w:bCs/>
      <w:kern w:val="2"/>
      <w:sz w:val="48"/>
      <w:szCs w:val="32"/>
    </w:rPr>
  </w:style>
  <w:style w:type="paragraph" w:customStyle="1" w:styleId="21">
    <w:name w:val="melo-codeblock-Base-theme-para"/>
    <w:qFormat/>
    <w:uiPriority w:val="99"/>
    <w:pPr>
      <w:snapToGrid w:val="0"/>
      <w:spacing w:line="360" w:lineRule="auto"/>
    </w:pPr>
    <w:rPr>
      <w:rFonts w:ascii="Monaco" w:hAnsi="Monaco" w:eastAsia="Monaco" w:cs="Monaco"/>
      <w:color w:val="000000"/>
      <w:kern w:val="2"/>
      <w:sz w:val="21"/>
      <w:szCs w:val="22"/>
      <w:lang w:val="en-US" w:eastAsia="zh-CN" w:bidi="ar-SA"/>
    </w:rPr>
  </w:style>
  <w:style w:type="character" w:customStyle="1" w:styleId="22">
    <w:name w:val="副标题 字符"/>
    <w:basedOn w:val="18"/>
    <w:link w:val="14"/>
    <w:uiPriority w:val="0"/>
    <w:rPr>
      <w:rFonts w:ascii="Arial" w:hAnsi="Arial" w:eastAsia="微软雅黑" w:cstheme="minorBidi"/>
      <w:b/>
      <w:bCs/>
      <w:kern w:val="28"/>
      <w:sz w:val="44"/>
      <w:szCs w:val="32"/>
    </w:rPr>
  </w:style>
  <w:style w:type="character" w:customStyle="1" w:styleId="23">
    <w:name w:val="melo-codeblock-Base-theme-char"/>
    <w:qFormat/>
    <w:uiPriority w:val="99"/>
    <w:rPr>
      <w:rFonts w:ascii="Monaco" w:hAnsi="Monaco" w:eastAsia="Monaco" w:cs="Monaco"/>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2778</Words>
  <Characters>2870</Characters>
  <Lines>21</Lines>
  <Paragraphs>6</Paragraphs>
  <TotalTime>1</TotalTime>
  <ScaleCrop>false</ScaleCrop>
  <LinksUpToDate>false</LinksUpToDate>
  <CharactersWithSpaces>2924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2025-05-08T12:41:00Z</dcterms:created>
  <dc:creator>18317</dc:creator>
  <cp:lastModifiedBy>ZZ-HHH</cp:lastModifiedBy>
  <dcterms:modified xsi:type="dcterms:W3CDTF">2026-02-09T09:17:21Z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eyJoZGlkIjoiYTk4NDljZDdkMDcxYjZkZWIyNDk3NjVlODdjNjliYzYiLCJ1c2VySWQiOiIzNTYxMjYwNzAifQ==</vt:lpwstr>
  </property>
  <property fmtid="{D5CDD505-2E9C-101B-9397-08002B2CF9AE}" pid="3" name="KSOProductBuildVer">
    <vt:lpwstr>2052-12.1.0.24657</vt:lpwstr>
  </property>
  <property fmtid="{D5CDD505-2E9C-101B-9397-08002B2CF9AE}" pid="4" name="ICV">
    <vt:lpwstr>B86E02D80AA24C17BAD9E97DA786D3D5_12</vt:lpwstr>
  </property>
</Properties>
</file>