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pacing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pacing w:val="0"/>
          <w:sz w:val="28"/>
          <w:szCs w:val="28"/>
          <w:highlight w:val="none"/>
          <w:lang w:val="en-US" w:eastAsia="zh-CN"/>
        </w:rPr>
      </w:pPr>
    </w:p>
    <w:p>
      <w:pPr>
        <w:pStyle w:val="2"/>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河南省</w:t>
      </w:r>
      <w:r>
        <w:rPr>
          <w:rFonts w:hint="eastAsia" w:ascii="方正小标宋_GBK" w:hAnsi="方正小标宋_GBK" w:eastAsia="方正小标宋_GBK" w:cs="方正小标宋_GBK"/>
          <w:color w:val="auto"/>
          <w:sz w:val="44"/>
          <w:szCs w:val="44"/>
          <w:highlight w:val="none"/>
          <w:lang w:val="en-US" w:eastAsia="zh-CN"/>
        </w:rPr>
        <w:t>0.9%氯化钠等大容量注射液采购</w:t>
      </w:r>
    </w:p>
    <w:p>
      <w:pPr>
        <w:pStyle w:val="2"/>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规则要点</w:t>
      </w:r>
      <w:bookmarkStart w:id="2" w:name="_GoBack"/>
      <w:bookmarkEnd w:id="2"/>
      <w:r>
        <w:rPr>
          <w:rFonts w:hint="eastAsia" w:ascii="方正小标宋_GBK" w:hAnsi="方正小标宋_GBK" w:eastAsia="方正小标宋_GBK" w:cs="方正小标宋_GBK"/>
          <w:color w:val="auto"/>
          <w:sz w:val="44"/>
          <w:szCs w:val="44"/>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根据我省大容量注射液集采进展，按照“稳临床、保质量、反内卷、防围标”原则，我省对0.9%氯化钠等大容量注射液开展接续采购工作。</w:t>
      </w:r>
    </w:p>
    <w:p>
      <w:pPr>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lang w:val="en-US" w:eastAsia="zh-CN"/>
        </w:rPr>
      </w:pPr>
      <w:r>
        <w:rPr>
          <w:rFonts w:hint="eastAsia" w:ascii="黑体" w:hAnsi="黑体" w:eastAsia="黑体" w:cs="黑体"/>
        </w:rPr>
        <w:t>采购</w:t>
      </w:r>
      <w:r>
        <w:rPr>
          <w:rFonts w:hint="eastAsia" w:ascii="黑体" w:hAnsi="黑体" w:eastAsia="黑体" w:cs="黑体"/>
          <w:lang w:val="en-US" w:eastAsia="zh-CN"/>
        </w:rPr>
        <w:t>品种</w:t>
      </w:r>
      <w:r>
        <w:rPr>
          <w:rFonts w:hint="eastAsia" w:ascii="黑体" w:hAnsi="黑体" w:eastAsia="黑体" w:cs="黑体"/>
        </w:rPr>
        <w:t>范围</w:t>
      </w:r>
      <w:r>
        <w:rPr>
          <w:rFonts w:hint="eastAsia" w:ascii="黑体" w:hAnsi="黑体" w:eastAsia="黑体" w:cs="黑体"/>
          <w:lang w:val="en-US" w:eastAsia="zh-CN"/>
        </w:rPr>
        <w:t>及采购周期</w:t>
      </w:r>
    </w:p>
    <w:p>
      <w:pPr>
        <w:pStyle w:val="9"/>
        <w:pageBreakBefore w:val="0"/>
        <w:kinsoku/>
        <w:wordWrap/>
        <w:overflowPunct/>
        <w:topLinePunct w:val="0"/>
        <w:bidi w:val="0"/>
        <w:spacing w:line="560" w:lineRule="exact"/>
        <w:ind w:firstLine="480" w:firstLineChars="200"/>
        <w:jc w:val="both"/>
        <w:rPr>
          <w:rFonts w:hint="eastAsia" w:ascii="仿宋_GB2312" w:hAnsi="仿宋_GB2312" w:eastAsia="仿宋_GB2312" w:cs="仿宋_GB2312"/>
          <w:color w:val="auto"/>
          <w:sz w:val="32"/>
          <w:szCs w:val="32"/>
          <w:highlight w:val="none"/>
        </w:rPr>
      </w:pPr>
      <w:r>
        <w:rPr>
          <w:rFonts w:hint="eastAsia" w:ascii="黑体" w:hAnsi="黑体" w:eastAsia="黑体" w:cs="黑体"/>
          <w:lang w:val="en-US" w:eastAsia="zh-CN"/>
        </w:rPr>
        <w:t xml:space="preserve"> </w:t>
      </w:r>
      <w:r>
        <w:rPr>
          <w:rFonts w:hint="eastAsia" w:ascii="仿宋_GB2312" w:hAnsi="仿宋_GB2312" w:eastAsia="仿宋_GB2312" w:cs="仿宋_GB2312"/>
          <w:color w:val="auto"/>
          <w:sz w:val="32"/>
          <w:szCs w:val="32"/>
          <w:highlight w:val="none"/>
        </w:rPr>
        <w:t>本次接续分为三级采购目录，一级目录为集采品种，</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0.9%氯化钠、5%葡萄糖/10%葡萄糖、葡萄糖氯化钠、50%葡萄糖、复方氯化钠、灭菌注射用水6个品种；二级目录为包材，</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玻璃瓶、塑料瓶单阀、塑料瓶双阀、直立式软袋单阀、直立式软袋双阀、非直立式软袋单阀、非直立式软袋双阀7种包装材质；三级目录为装量，分为50ml、100ml、150ml、250ml、500ml、1000ml、3000ml7种装量。一、二、三级目录组成产品分组，企业按照产品分组分别进行报价。</w:t>
      </w:r>
    </w:p>
    <w:p>
      <w:pPr>
        <w:pStyle w:val="9"/>
        <w:pageBreakBefore w:val="0"/>
        <w:kinsoku/>
        <w:wordWrap/>
        <w:overflowPunct/>
        <w:topLinePunct w:val="0"/>
        <w:bidi w:val="0"/>
        <w:spacing w:line="560" w:lineRule="exact"/>
        <w:ind w:firstLine="640" w:firstLineChars="200"/>
        <w:jc w:val="both"/>
        <w:rPr>
          <w:rFonts w:hint="default" w:ascii="黑体" w:hAnsi="黑体" w:eastAsia="黑体" w:cs="黑体"/>
          <w:lang w:val="en-US" w:eastAsia="zh-CN"/>
        </w:rPr>
      </w:pPr>
      <w:r>
        <w:rPr>
          <w:rFonts w:hint="eastAsia" w:ascii="仿宋_GB2312" w:hAnsi="仿宋_GB2312" w:eastAsia="仿宋_GB2312" w:cs="仿宋_GB2312"/>
          <w:color w:val="auto"/>
          <w:sz w:val="32"/>
          <w:szCs w:val="32"/>
          <w:highlight w:val="none"/>
        </w:rPr>
        <w:t>采购周期自中选结果执行起至2029年12月31日。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val="en-US" w:eastAsia="zh-CN"/>
        </w:rPr>
        <w:t>二、申报企业资质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申报主体为药品上市许可持有人（含药品注册批件持有人）、境外药品上市许可持有人境内代理人（境内责任人），同时应满足以下资质：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1.申报药品应当符合国家药品标准和经国家药品监督管理部门核准的药品质量标准，并按照国家药品监督管理部门发布的相关技术指导文件组织生产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2.申报药品自2024年1月起，无省级（含）以上药品监督管理部门生产质量检查不合格情况。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3.申报药品的生产线自2024年1月起，无不符合药品生产质量管理规范（GMP）要求的情形。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4.申报药品应符合药品监督管理和医保部门关于药品追溯码的政策文件要求。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val="en-US" w:eastAsia="zh-CN"/>
        </w:rPr>
        <w:t>三、医疗机构报量与约定采购量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实行医疗机构按厂牌报量，原则上以医疗机构需求量的70%作为约定采购量。公立医疗机构提供特需医疗、国际医疗等不计入基本医保支付范围的医疗服务，所使用相应药品的用量可不纳入报量范围。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周期内采购协议可每年一签，每年签采购协议时，需综合考量医药机构上年度实际使用情况、企业供应情况等因素，确定约定采购量。原则上中选品种年约定采购量不少于首年约定采购量的90%，同时各厂牌中选药品年约定采购量不少于首年约定采购量的90%。采购协议也可签约至采购周期结束，同时在采购协议中明确每年约定采购量等相关内容。</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highlight w:val="none"/>
          <w:lang w:val="en-US" w:eastAsia="zh-CN"/>
        </w:rPr>
      </w:pPr>
      <w:r>
        <w:rPr>
          <w:rFonts w:hint="eastAsia" w:ascii="黑体" w:hAnsi="黑体" w:eastAsia="黑体"/>
          <w:highlight w:val="none"/>
          <w:lang w:val="en-US" w:eastAsia="zh-CN"/>
        </w:rPr>
        <w:t>四、企业报价及中选规则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楷体" w:hAnsi="华文楷体" w:eastAsia="华文楷体" w:cs="华文楷体"/>
          <w:color w:val="auto"/>
          <w:sz w:val="32"/>
          <w:szCs w:val="32"/>
          <w:highlight w:val="none"/>
          <w:lang w:val="en-US" w:eastAsia="zh-CN"/>
        </w:rPr>
      </w:pPr>
      <w:r>
        <w:rPr>
          <w:rFonts w:hint="eastAsia" w:ascii="华文楷体" w:hAnsi="华文楷体" w:eastAsia="华文楷体" w:cs="华文楷体"/>
          <w:color w:val="auto"/>
          <w:sz w:val="32"/>
          <w:szCs w:val="32"/>
          <w:highlight w:val="none"/>
          <w:lang w:val="en-US" w:eastAsia="zh-CN"/>
        </w:rPr>
        <w:t>（一）企业报价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1.企业报价取小数点后2位，报价存在小数点后2位以上的，采取舍去法。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企业报价不得高于本企业在河南大输液集采、四川大输液联盟集采、广东双氯芬酸等化药联盟接续集采、江西大输液联盟集采现行最低中选价格和本次接续采购询价下限之间的高值。企业报价价整数位及小数点后第1位和第2位与外省最低价均相同的，视为符合本条规定。</w:t>
      </w:r>
    </w:p>
    <w:p>
      <w:pPr>
        <w:keepNext w:val="0"/>
        <w:keepLines w:val="0"/>
        <w:widowControl/>
        <w:suppressLineNumbers w:val="0"/>
        <w:ind w:firstLine="640" w:firstLineChars="200"/>
        <w:jc w:val="left"/>
        <w:rPr>
          <w:highlight w:val="none"/>
        </w:rPr>
      </w:pPr>
      <w:r>
        <w:rPr>
          <w:rFonts w:hint="eastAsia" w:ascii="仿宋_GB2312" w:hAnsi="仿宋_GB2312" w:eastAsia="仿宋_GB2312" w:cs="仿宋_GB2312"/>
          <w:color w:val="auto"/>
          <w:sz w:val="32"/>
          <w:szCs w:val="32"/>
          <w:highlight w:val="none"/>
          <w:lang w:val="en-US" w:eastAsia="zh-CN"/>
        </w:rPr>
        <w:t>3.</w:t>
      </w:r>
      <w:r>
        <w:rPr>
          <w:rFonts w:ascii="仿宋_GB2312" w:hAnsi="仿宋_GB2312" w:eastAsia="仿宋_GB2312" w:cs="仿宋_GB2312"/>
          <w:color w:val="000000"/>
          <w:kern w:val="0"/>
          <w:sz w:val="31"/>
          <w:szCs w:val="31"/>
          <w:highlight w:val="none"/>
          <w:lang w:val="en-US" w:eastAsia="zh-CN" w:bidi="ar"/>
        </w:rPr>
        <w:t>申报同</w:t>
      </w:r>
      <w:r>
        <w:rPr>
          <w:rFonts w:hint="eastAsia" w:ascii="仿宋_GB2312" w:hAnsi="仿宋_GB2312" w:eastAsia="仿宋_GB2312" w:cs="仿宋_GB2312"/>
          <w:color w:val="000000"/>
          <w:kern w:val="0"/>
          <w:sz w:val="31"/>
          <w:szCs w:val="31"/>
          <w:highlight w:val="none"/>
          <w:lang w:val="en-US" w:eastAsia="zh-CN" w:bidi="ar"/>
        </w:rPr>
        <w:t>产品分组</w:t>
      </w:r>
      <w:r>
        <w:rPr>
          <w:rFonts w:ascii="仿宋_GB2312" w:hAnsi="仿宋_GB2312" w:eastAsia="仿宋_GB2312" w:cs="仿宋_GB2312"/>
          <w:color w:val="000000"/>
          <w:kern w:val="0"/>
          <w:sz w:val="31"/>
          <w:szCs w:val="31"/>
          <w:highlight w:val="none"/>
          <w:lang w:val="en-US" w:eastAsia="zh-CN" w:bidi="ar"/>
        </w:rPr>
        <w:t xml:space="preserve">的不同企业，企业法定代表人（实际控制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 xml:space="preserve">人）为同一人或存在直接控股的，各申报企业须填报同一个价格。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 xml:space="preserve">若填报多个价格的，除最低申报价外，其他申报企业须接受关联 </w:t>
      </w:r>
    </w:p>
    <w:p>
      <w:pPr>
        <w:keepNext w:val="0"/>
        <w:keepLines w:val="0"/>
        <w:widowControl/>
        <w:suppressLineNumbers w:val="0"/>
        <w:jc w:val="left"/>
        <w:rPr>
          <w:rFonts w:ascii="仿宋_GB2312" w:hAnsi="仿宋_GB2312" w:eastAsia="仿宋_GB2312" w:cs="仿宋_GB2312"/>
          <w:color w:val="000000"/>
          <w:kern w:val="0"/>
          <w:sz w:val="31"/>
          <w:szCs w:val="31"/>
          <w:highlight w:val="none"/>
          <w:lang w:val="en-US" w:eastAsia="zh-CN" w:bidi="ar"/>
        </w:rPr>
      </w:pPr>
      <w:r>
        <w:rPr>
          <w:rFonts w:ascii="仿宋_GB2312" w:hAnsi="仿宋_GB2312" w:eastAsia="仿宋_GB2312" w:cs="仿宋_GB2312"/>
          <w:color w:val="000000"/>
          <w:kern w:val="0"/>
          <w:sz w:val="31"/>
          <w:szCs w:val="31"/>
          <w:highlight w:val="none"/>
          <w:lang w:val="en-US" w:eastAsia="zh-CN" w:bidi="ar"/>
        </w:rPr>
        <w:t>企业最低申报价，方可作为有效价格。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楷体" w:hAnsi="华文楷体" w:eastAsia="华文楷体" w:cs="华文楷体"/>
          <w:color w:val="auto"/>
          <w:sz w:val="32"/>
          <w:szCs w:val="32"/>
          <w:highlight w:val="none"/>
          <w:lang w:val="en-US" w:eastAsia="zh-CN"/>
        </w:rPr>
      </w:pPr>
      <w:r>
        <w:rPr>
          <w:rFonts w:hint="eastAsia" w:ascii="华文楷体" w:hAnsi="华文楷体" w:eastAsia="华文楷体" w:cs="华文楷体"/>
          <w:color w:val="auto"/>
          <w:sz w:val="32"/>
          <w:szCs w:val="32"/>
          <w:highlight w:val="none"/>
          <w:lang w:val="en-US" w:eastAsia="zh-CN"/>
        </w:rPr>
        <w:t>（二）中选规则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鉴于此前集采已经通过竞争实现价格回归合理，为稳定临床用药、稳定行业预期，本次接续采购总体实行询价方式，各品种基于原河南省大输液集采中选价格，同时参考外省集采价格，形成最高有效申报价、询价基准、询价下限，企业报价不高于最高有效申报价可获得拟中选身份，根据不同报价水平梯度带量，实现量价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最高有效申报价</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原则上以原河南大输液集采中选产品各企业最低中选价平均值的1.3倍与各产品分组中选价最高值之间的低值，作为最高有效申报价。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询价基准</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原则上以</w:t>
      </w:r>
      <w:r>
        <w:rPr>
          <w:rFonts w:hint="eastAsia" w:ascii="仿宋_GB2312" w:hAnsi="仿宋_GB2312" w:eastAsia="仿宋_GB2312" w:cs="仿宋_GB2312"/>
          <w:color w:val="auto"/>
          <w:sz w:val="32"/>
          <w:szCs w:val="32"/>
          <w:highlight w:val="none"/>
          <w:lang w:val="en-US" w:eastAsia="zh-CN"/>
        </w:rPr>
        <w:t>各产品分组</w:t>
      </w:r>
      <w:r>
        <w:rPr>
          <w:rFonts w:hint="default" w:ascii="仿宋_GB2312" w:hAnsi="仿宋_GB2312" w:eastAsia="仿宋_GB2312" w:cs="仿宋_GB2312"/>
          <w:color w:val="auto"/>
          <w:sz w:val="32"/>
          <w:szCs w:val="32"/>
          <w:highlight w:val="none"/>
          <w:lang w:val="en-US" w:eastAsia="zh-CN"/>
        </w:rPr>
        <w:t>原河南大输液集采中选产品各企业最低中选价的平均值，作为询价基准。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询价下限</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原则上以原河南大输液集采中选产品各产品分组最低中选价，作为询价下限。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CESI黑体-GB2312" w:hAnsi="CESI黑体-GB2312" w:eastAsia="CESI黑体-GB2312" w:cs="CESI黑体-GB2312"/>
          <w:color w:val="000000"/>
          <w:kern w:val="0"/>
          <w:sz w:val="31"/>
          <w:szCs w:val="31"/>
          <w:highlight w:val="none"/>
          <w:lang w:val="en-US" w:eastAsia="zh-CN" w:bidi="ar"/>
        </w:rPr>
      </w:pPr>
      <w:r>
        <w:rPr>
          <w:rFonts w:hint="eastAsia" w:ascii="CESI黑体-GB2312" w:hAnsi="CESI黑体-GB2312" w:eastAsia="CESI黑体-GB2312" w:cs="CESI黑体-GB2312"/>
          <w:color w:val="000000"/>
          <w:kern w:val="0"/>
          <w:sz w:val="31"/>
          <w:szCs w:val="31"/>
          <w:highlight w:val="none"/>
          <w:lang w:val="en-US" w:eastAsia="zh-CN" w:bidi="ar"/>
        </w:rPr>
        <w:t>五、价格纠偏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中选企业供应清单中所有装量的玻璃瓶、塑料瓶产品价格高于同企业同品种同装量非直立式软袋/直立式软袋价格，玻璃瓶、塑料瓶产品取消拟中选资格；同企业同品种同装量单阀产品的报价高于双阀产品的报价，单阀取消拟中选资格；同企业同品种同包材小装量产品的报价高于大装量产品的报价，小装量产品取消拟中选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六、带量和分量规则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根据各企业报价水平，按不同比例获得医疗机构对本企业的报量，实行梯度带量。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（一）基础带量比例</w:t>
      </w:r>
      <w:r>
        <w:rPr>
          <w:rFonts w:hint="eastAsia" w:ascii="仿宋_GB2312" w:hAnsi="仿宋_GB2312" w:eastAsia="仿宋_GB2312" w:cs="仿宋_GB2312"/>
          <w:color w:val="auto"/>
          <w:sz w:val="32"/>
          <w:szCs w:val="32"/>
          <w:highlight w:val="none"/>
          <w:lang w:val="en-US" w:eastAsia="zh-CN"/>
        </w:rPr>
        <w:t>。</w:t>
      </w:r>
      <w:bookmarkStart w:id="0" w:name="OLE_LINK2"/>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1.报价不高于询价下限的，可在获得本企业本产品分组医疗机构报量70%的基础上，奖励本企业本产品分组医疗机构报量的30%。</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2.报价高于询价下限但不高于询价基准的，可获得本企业本产品分组医疗机构报量的70%。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3.报价高于询价基准但不高于最高有效申报价的，可获得</w:t>
      </w:r>
      <w:bookmarkStart w:id="1" w:name="OLE_LINK1"/>
      <w:r>
        <w:rPr>
          <w:rFonts w:hint="eastAsia" w:ascii="仿宋_GB2312" w:hAnsi="仿宋_GB2312" w:eastAsia="仿宋_GB2312" w:cs="仿宋_GB2312"/>
          <w:color w:val="auto"/>
          <w:sz w:val="32"/>
          <w:szCs w:val="32"/>
          <w:highlight w:val="none"/>
          <w:lang w:val="en-US" w:eastAsia="zh-CN"/>
        </w:rPr>
        <w:t>本企业本产品分组医疗机构报量的40%。</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（二）调整带量比例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1.符合条件的原河南省大输液集采中选企业，申报价高于本企业全国最低中选价格的，不再奖励30%带量比例。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2.非原河南省大输液集采中选企业申报价高于询价下限的，调整后的带量比例=基础带量比例×（0.9－涨幅），涨幅=（企业申报价-询价下限）/询价下限×100%，涨幅变化向上取整。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（三）余量分配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按上述规则带量后，各产品分组医疗机构约定采购量的剩余部分，由医疗机构在报价不高于询价基准的中选企业中自行选择。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七、信息变更</w:t>
      </w:r>
    </w:p>
    <w:p>
      <w:pPr>
        <w:keepNext w:val="0"/>
        <w:keepLines w:val="0"/>
        <w:widowControl/>
        <w:suppressLineNumbers w:val="0"/>
        <w:ind w:firstLine="620" w:firstLineChars="200"/>
        <w:jc w:val="left"/>
        <w:rPr>
          <w:highlight w:val="none"/>
        </w:rPr>
      </w:pPr>
      <w:r>
        <w:rPr>
          <w:rFonts w:hint="eastAsia" w:ascii="仿宋_GB2312" w:hAnsi="仿宋_GB2312" w:eastAsia="仿宋_GB2312" w:cs="仿宋_GB2312"/>
          <w:color w:val="000000"/>
          <w:kern w:val="0"/>
          <w:sz w:val="31"/>
          <w:szCs w:val="31"/>
          <w:highlight w:val="none"/>
          <w:lang w:val="en-US" w:eastAsia="zh-CN" w:bidi="ar"/>
        </w:rPr>
        <w:t>（一）</w:t>
      </w:r>
      <w:r>
        <w:rPr>
          <w:rFonts w:ascii="仿宋_GB2312" w:hAnsi="仿宋_GB2312" w:eastAsia="仿宋_GB2312" w:cs="仿宋_GB2312"/>
          <w:color w:val="000000"/>
          <w:kern w:val="0"/>
          <w:sz w:val="31"/>
          <w:szCs w:val="31"/>
          <w:highlight w:val="none"/>
          <w:lang w:val="en-US" w:eastAsia="zh-CN" w:bidi="ar"/>
        </w:rPr>
        <w:t xml:space="preserve">申报企业在“企业及产品申报”截止时间前，已完成药品上市许可持有人变更的，由变更后的药品上市许可持有人参与申报，若中选，将变更前药品上市许可持有人的约定采购量，由医药机构进行二次确认；若医药机构未全部确认，剩下的约定采购量由医药机构自由分配。 </w:t>
      </w:r>
    </w:p>
    <w:p>
      <w:pPr>
        <w:keepNext w:val="0"/>
        <w:keepLines w:val="0"/>
        <w:widowControl/>
        <w:suppressLineNumbers w:val="0"/>
        <w:ind w:firstLine="620" w:firstLineChars="200"/>
        <w:jc w:val="left"/>
        <w:rPr>
          <w:highlight w:val="none"/>
        </w:rPr>
      </w:pPr>
      <w:r>
        <w:rPr>
          <w:rFonts w:hint="eastAsia" w:ascii="仿宋_GB2312" w:hAnsi="仿宋_GB2312" w:eastAsia="仿宋_GB2312" w:cs="仿宋_GB2312"/>
          <w:color w:val="000000"/>
          <w:kern w:val="0"/>
          <w:sz w:val="31"/>
          <w:szCs w:val="31"/>
          <w:highlight w:val="none"/>
          <w:lang w:val="en-US" w:eastAsia="zh-CN" w:bidi="ar"/>
        </w:rPr>
        <w:t>（二）</w:t>
      </w:r>
      <w:r>
        <w:rPr>
          <w:rFonts w:ascii="仿宋_GB2312" w:hAnsi="仿宋_GB2312" w:eastAsia="仿宋_GB2312" w:cs="仿宋_GB2312"/>
          <w:color w:val="000000"/>
          <w:kern w:val="0"/>
          <w:sz w:val="31"/>
          <w:szCs w:val="31"/>
          <w:highlight w:val="none"/>
          <w:lang w:val="en-US" w:eastAsia="zh-CN" w:bidi="ar"/>
        </w:rPr>
        <w:t xml:space="preserve">申报时间截止前，已向药品监督管理部门申请变更药品上市许可持有人的，由当前药品上市许可持有人参与申报，会同受让企业同时提交书面承诺，转让企业和受让企业均须满足“企业申报资格”和“药品申报资格”所列的各项条件。中选后获得药品监督管理部门批准变更，且最终批准结果与前期承诺内容一致的，则变更后的药品上市许可持有人可视为中选企业，涉及的约定采购量由医药机构自行选择中选企业供应。 </w:t>
      </w:r>
    </w:p>
    <w:p>
      <w:pPr>
        <w:keepNext w:val="0"/>
        <w:keepLines w:val="0"/>
        <w:widowControl/>
        <w:suppressLineNumbers w:val="0"/>
        <w:ind w:firstLine="620" w:firstLineChars="200"/>
        <w:jc w:val="left"/>
        <w:rPr>
          <w:highlight w:val="none"/>
        </w:rPr>
      </w:pPr>
      <w:r>
        <w:rPr>
          <w:rFonts w:hint="eastAsia" w:ascii="仿宋_GB2312" w:hAnsi="仿宋_GB2312" w:eastAsia="仿宋_GB2312" w:cs="仿宋_GB2312"/>
          <w:color w:val="000000"/>
          <w:kern w:val="0"/>
          <w:sz w:val="31"/>
          <w:szCs w:val="31"/>
          <w:highlight w:val="none"/>
          <w:lang w:val="en-US" w:eastAsia="zh-CN" w:bidi="ar"/>
        </w:rPr>
        <w:t>（三）</w:t>
      </w:r>
      <w:r>
        <w:rPr>
          <w:rFonts w:ascii="仿宋_GB2312" w:hAnsi="仿宋_GB2312" w:eastAsia="仿宋_GB2312" w:cs="仿宋_GB2312"/>
          <w:color w:val="000000"/>
          <w:kern w:val="0"/>
          <w:sz w:val="31"/>
          <w:szCs w:val="31"/>
          <w:highlight w:val="none"/>
          <w:lang w:val="en-US" w:eastAsia="zh-CN" w:bidi="ar"/>
        </w:rPr>
        <w:t xml:space="preserve">申报时间截止后，中选企业向药品监督管理部门申请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 xml:space="preserve">变更药品上市许可持有人并被批准的，视为放弃中选资格，并按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 xml:space="preserve">相关条款给予相应处置，涉及相应约定采购量由医药机构自行选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择中选企业供应。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黑体-GB2312" w:hAnsi="CESI黑体-GB2312" w:eastAsia="CESI黑体-GB2312" w:cs="CESI黑体-GB2312"/>
          <w:color w:val="auto"/>
          <w:sz w:val="32"/>
          <w:szCs w:val="32"/>
          <w:highlight w:val="none"/>
          <w:lang w:val="en-US" w:eastAsia="zh-CN"/>
        </w:rPr>
      </w:pPr>
      <w:r>
        <w:rPr>
          <w:rFonts w:hint="eastAsia" w:ascii="CESI黑体-GB2312" w:hAnsi="CESI黑体-GB2312" w:eastAsia="CESI黑体-GB2312" w:cs="CESI黑体-GB2312"/>
          <w:color w:val="auto"/>
          <w:sz w:val="32"/>
          <w:szCs w:val="32"/>
          <w:highlight w:val="none"/>
          <w:lang w:val="en-US" w:eastAsia="zh-CN"/>
        </w:rPr>
        <w:t>八、采购执行说明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（一）中选企业是保障药品质量和供应的第一责任人，申报的</w:t>
      </w:r>
      <w:r>
        <w:rPr>
          <w:rFonts w:hint="eastAsia" w:ascii="仿宋_GB2312" w:hAnsi="仿宋_GB2312" w:eastAsia="仿宋_GB2312" w:cs="仿宋_GB2312"/>
          <w:color w:val="auto"/>
          <w:sz w:val="32"/>
          <w:szCs w:val="32"/>
          <w:highlight w:val="none"/>
          <w:shd w:val="clear" w:color="FFFFFF"/>
          <w:lang w:val="en-US" w:eastAsia="zh-CN"/>
        </w:rPr>
        <w:t>所有规格包装</w:t>
      </w:r>
      <w:r>
        <w:rPr>
          <w:rFonts w:hint="eastAsia" w:ascii="仿宋_GB2312" w:hAnsi="仿宋_GB2312" w:eastAsia="仿宋_GB2312" w:cs="仿宋_GB2312"/>
          <w:color w:val="auto"/>
          <w:sz w:val="32"/>
          <w:szCs w:val="32"/>
          <w:highlight w:val="none"/>
          <w:shd w:val="clear"/>
          <w:lang w:val="en-US" w:eastAsia="zh-CN"/>
        </w:rPr>
        <w:t>均</w:t>
      </w:r>
      <w:r>
        <w:rPr>
          <w:rFonts w:hint="eastAsia" w:ascii="仿宋_GB2312" w:hAnsi="仿宋_GB2312" w:eastAsia="仿宋_GB2312" w:cs="仿宋_GB2312"/>
          <w:color w:val="auto"/>
          <w:sz w:val="32"/>
          <w:szCs w:val="32"/>
          <w:highlight w:val="none"/>
          <w:lang w:val="en-US" w:eastAsia="zh-CN"/>
        </w:rPr>
        <w:t>须按国家药品监督管理部门发布的相关技术指导文件组织生产，并及时、足量按要求配送，满足我省医药机构（包括基层医疗卫生机构，参与报量的民营医疗机构、零售药店等）用药需求。中选药品执行“两票制”相关政策，且药品外包装须印制药品追溯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（二）采购周期内，医药机构将优先使用本次药品接续采购中选药品，并确保完成约定采购量。医药机构在优先使用中选药品的基础上，剩余用量可按需采购非中选产品。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（三）采购周期内，非中选药品（含新获批药品）符合本次申报资格要求，若接受本产品分组询价基准的，可增补获得中选资格，但增补当年不设约定采购量。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采购周期内，中选药品外省产生新的最低价格的（含集采价格和挂网价格），中选企业要在30天内进行价格联动，未及时联动的暂停3个月交易资格，当年剩余约定采购量医疗机构可从其他中选企业中选择，视为医疗机构完成约定采购量。低于询价下限的外省低价可优先执行本次接续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（五）采购周期内，中选药品纳入价格治理范围的，中选企业须按治理后的价格供应。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九、配套政策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（一）强化质量保障。中选企业应当持续做好集采中选药品质量管理，严格遵守药品生产质量管理规范。一旦发现中选药品质量问题，医保、药监部门将实施联合惩戒。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（二）强化供应履约。中选企业不履行供货承诺，影响临床使用的，将取消中选资格，并视情节列入“违规名单”，按标书规定予以处置。同时，按照医药价格和招采信用评价制度予以失信评级。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防范围标串标。对发现围标串标的企业，按标书有关条款列入“违规名单”，同时按照医药价格和招采信用评价制度顶格处置。实行“首告从宽”，对首个提供围标线索及有效证据的企业（含参与围标企业），以及围标事件调查过程中首个主动承认参与围标的企业，可依法依规从宽处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1701" w:right="1587" w:bottom="158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00"/>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D14878"/>
    <w:multiLevelType w:val="singleLevel"/>
    <w:tmpl w:val="CED148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1602"/>
    <w:rsid w:val="00367CE7"/>
    <w:rsid w:val="05870439"/>
    <w:rsid w:val="066118F0"/>
    <w:rsid w:val="082911A7"/>
    <w:rsid w:val="0DFEA108"/>
    <w:rsid w:val="0DFFF80F"/>
    <w:rsid w:val="0E273FE8"/>
    <w:rsid w:val="0F723B51"/>
    <w:rsid w:val="109C786E"/>
    <w:rsid w:val="13553E13"/>
    <w:rsid w:val="1920015E"/>
    <w:rsid w:val="19E97B9C"/>
    <w:rsid w:val="1ACD1BE0"/>
    <w:rsid w:val="1B331AB3"/>
    <w:rsid w:val="20C85578"/>
    <w:rsid w:val="24F31FCA"/>
    <w:rsid w:val="2B571A5F"/>
    <w:rsid w:val="2EDB763D"/>
    <w:rsid w:val="30237C87"/>
    <w:rsid w:val="315132A2"/>
    <w:rsid w:val="365E253B"/>
    <w:rsid w:val="37D82907"/>
    <w:rsid w:val="3A697D3B"/>
    <w:rsid w:val="3BDDA558"/>
    <w:rsid w:val="3D026891"/>
    <w:rsid w:val="3DBFF1B0"/>
    <w:rsid w:val="3E7FB60B"/>
    <w:rsid w:val="3FDFF47D"/>
    <w:rsid w:val="46E8646C"/>
    <w:rsid w:val="4A00757A"/>
    <w:rsid w:val="4B0549DA"/>
    <w:rsid w:val="4D4F65D0"/>
    <w:rsid w:val="4D932007"/>
    <w:rsid w:val="4E4F68BE"/>
    <w:rsid w:val="4EABA48D"/>
    <w:rsid w:val="4F3D074D"/>
    <w:rsid w:val="520927A6"/>
    <w:rsid w:val="548F58AE"/>
    <w:rsid w:val="58BFE07E"/>
    <w:rsid w:val="5A093762"/>
    <w:rsid w:val="5A575313"/>
    <w:rsid w:val="5B6E112F"/>
    <w:rsid w:val="5E7364C9"/>
    <w:rsid w:val="5FBFA358"/>
    <w:rsid w:val="5FDD45AE"/>
    <w:rsid w:val="5FE7675E"/>
    <w:rsid w:val="67FF1796"/>
    <w:rsid w:val="6B197062"/>
    <w:rsid w:val="6BF67457"/>
    <w:rsid w:val="6CF71BA8"/>
    <w:rsid w:val="6EBA7886"/>
    <w:rsid w:val="6F3B31B1"/>
    <w:rsid w:val="6FBF6EA1"/>
    <w:rsid w:val="6FDF6404"/>
    <w:rsid w:val="6FFBFEFA"/>
    <w:rsid w:val="72CB7623"/>
    <w:rsid w:val="76393874"/>
    <w:rsid w:val="766960B1"/>
    <w:rsid w:val="76BFCDB2"/>
    <w:rsid w:val="777FF938"/>
    <w:rsid w:val="77FDF1C6"/>
    <w:rsid w:val="77FEB68B"/>
    <w:rsid w:val="786E4D7B"/>
    <w:rsid w:val="7C216AD5"/>
    <w:rsid w:val="7D23BB76"/>
    <w:rsid w:val="7DB8332D"/>
    <w:rsid w:val="7DFFF2A9"/>
    <w:rsid w:val="7E7734B7"/>
    <w:rsid w:val="7EBF01A9"/>
    <w:rsid w:val="7EDE6965"/>
    <w:rsid w:val="7F4D5F56"/>
    <w:rsid w:val="7F73C3F0"/>
    <w:rsid w:val="7F77C9F8"/>
    <w:rsid w:val="7F7F4F5B"/>
    <w:rsid w:val="7FBD02A2"/>
    <w:rsid w:val="7FBFFA79"/>
    <w:rsid w:val="7FDEF80C"/>
    <w:rsid w:val="7FFB5D73"/>
    <w:rsid w:val="81EE9D24"/>
    <w:rsid w:val="8FFF186A"/>
    <w:rsid w:val="972D8FBC"/>
    <w:rsid w:val="9DFF097A"/>
    <w:rsid w:val="A5F7FB7B"/>
    <w:rsid w:val="B5CDB78E"/>
    <w:rsid w:val="BB373056"/>
    <w:rsid w:val="BB3A3CC7"/>
    <w:rsid w:val="BDFABD4B"/>
    <w:rsid w:val="BFDDB34C"/>
    <w:rsid w:val="C8FDD2DC"/>
    <w:rsid w:val="DBB97584"/>
    <w:rsid w:val="DCAB2795"/>
    <w:rsid w:val="DDEC435A"/>
    <w:rsid w:val="DFFFF980"/>
    <w:rsid w:val="EFE75355"/>
    <w:rsid w:val="EFEF1C66"/>
    <w:rsid w:val="EFFD8047"/>
    <w:rsid w:val="F4EE0AC3"/>
    <w:rsid w:val="F4FFB67E"/>
    <w:rsid w:val="F6EE90E9"/>
    <w:rsid w:val="F81DE3DB"/>
    <w:rsid w:val="F96D1012"/>
    <w:rsid w:val="FDD7F444"/>
    <w:rsid w:val="FDFF1CEE"/>
    <w:rsid w:val="FE7DC52D"/>
    <w:rsid w:val="FEE2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30"/>
      <w:szCs w:val="30"/>
      <w:lang w:val="en-US" w:eastAsia="zh-CN" w:bidi="ar-SA"/>
    </w:rPr>
  </w:style>
  <w:style w:type="paragraph" w:styleId="2">
    <w:name w:val="heading 2"/>
    <w:basedOn w:val="1"/>
    <w:next w:val="1"/>
    <w:qFormat/>
    <w:uiPriority w:val="0"/>
    <w:pPr>
      <w:keepNext/>
      <w:keepLines/>
      <w:spacing w:beforeAutospacing="0" w:afterAutospacing="0" w:line="560" w:lineRule="exact"/>
      <w:ind w:firstLine="720" w:firstLineChars="200"/>
      <w:outlineLvl w:val="1"/>
    </w:pPr>
    <w:rPr>
      <w:rFonts w:ascii="黑体" w:hAnsi="黑体" w:eastAsia="黑体"/>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880"/>
    </w:pPr>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customStyle="1" w:styleId="10">
    <w:name w:val="123"/>
    <w:basedOn w:val="1"/>
    <w:qFormat/>
    <w:uiPriority w:val="0"/>
    <w:pPr>
      <w:spacing w:line="600" w:lineRule="exact"/>
    </w:pPr>
    <w:rPr>
      <w:rFonts w:eastAsia="仿宋_GB2312" w:asciiTheme="minorAscii" w:hAnsiTheme="minorAscii"/>
      <w:sz w:val="32"/>
    </w:rPr>
  </w:style>
  <w:style w:type="paragraph" w:customStyle="1" w:styleId="11">
    <w:name w:val="5"/>
    <w:basedOn w:val="1"/>
    <w:qFormat/>
    <w:uiPriority w:val="0"/>
    <w:rPr>
      <w:rFonts w:asciiTheme="minorAscii" w:hAnsiTheme="minorAscii"/>
    </w:rPr>
  </w:style>
  <w:style w:type="paragraph" w:customStyle="1" w:styleId="12">
    <w:name w:val="Table Paragraph"/>
    <w:basedOn w:val="1"/>
    <w:qFormat/>
    <w:uiPriority w:val="1"/>
    <w:pPr>
      <w:spacing w:before="15"/>
      <w:ind w:left="526"/>
      <w:jc w:val="center"/>
    </w:pPr>
    <w:rPr>
      <w:rFonts w:ascii="宋体" w:hAnsi="宋体" w:eastAsia="宋体" w:cs="宋体"/>
      <w:lang w:val="en-US" w:eastAsia="zh-CN" w:bidi="ar-SA"/>
    </w:rPr>
  </w:style>
  <w:style w:type="character" w:customStyle="1" w:styleId="13">
    <w:name w:val="NormalCharacter"/>
    <w:qFormat/>
    <w:uiPriority w:val="0"/>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2517</Words>
  <Characters>2652</Characters>
  <Lines>0</Lines>
  <Paragraphs>0</Paragraphs>
  <TotalTime>54</TotalTime>
  <ScaleCrop>false</ScaleCrop>
  <LinksUpToDate>false</LinksUpToDate>
  <CharactersWithSpaces>2662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user</dc:creator>
  <cp:lastModifiedBy>明朝那些事儿</cp:lastModifiedBy>
  <cp:lastPrinted>2026-05-21T23:21:00Z</cp:lastPrinted>
  <dcterms:modified xsi:type="dcterms:W3CDTF">2026-05-21T11:45:56Z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4E253A60D8C1FAA855180C6AA9DADF19_43</vt:lpwstr>
  </property>
  <property fmtid="{D5CDD505-2E9C-101B-9397-08002B2CF9AE}" pid="4" name="KSOTemplateDocerSaveRecord">
    <vt:lpwstr>eyJoZGlkIjoiN2ZkN2U0NTE2ZWZjNGNkOGYwMTY5ODIwZjEyYjUxNGMiLCJ1c2VySWQiOiIyNDY3MjQ1MDQifQ==</vt:lpwstr>
  </property>
</Properties>
</file>